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F2E2" w14:textId="29FBE744" w:rsidR="00613DBD" w:rsidRPr="0042013D" w:rsidRDefault="0042013D" w:rsidP="00613DBD">
      <w:pPr>
        <w:rPr>
          <w:b/>
          <w:bCs/>
        </w:rPr>
      </w:pPr>
      <w:r w:rsidRPr="0042013D">
        <w:rPr>
          <w:b/>
          <w:bCs/>
        </w:rPr>
        <w:t>Characterising Online Private Treaty Negotiations: Field Evidence from Irish Residential Property</w:t>
      </w:r>
    </w:p>
    <w:p w14:paraId="1B6BB538" w14:textId="77777777" w:rsidR="0042013D" w:rsidRDefault="0042013D" w:rsidP="00613DBD"/>
    <w:p w14:paraId="2D7B7D54" w14:textId="77777777" w:rsidR="0042013D" w:rsidRDefault="0042013D" w:rsidP="0042013D">
      <w:r>
        <w:t>The mechanisms governing residential property transactions in Ireland have undergone a fundamental transformation in recent years. Historically, the market was characterised by opaque, agent-mediated negotiations in which offers were submitted by telephone, email or in person. In this traditional system, prospective buyers often lacked certainty regarding the existence or magnitude of competing offers, creating significant information asymmetry and a deficit of trust in the process (Lunn et al., 2025). The contemporary market, however, is witnessing a decisive shift towards digital platforms that allow verified participants to observe competing interest in real time, thereby democratising access to market information.</w:t>
      </w:r>
    </w:p>
    <w:p w14:paraId="7583D11C" w14:textId="77777777" w:rsidR="0042013D" w:rsidRDefault="0042013D" w:rsidP="0042013D"/>
    <w:p w14:paraId="5CFA17F4" w14:textId="221757E9" w:rsidR="0042013D" w:rsidRDefault="0042013D" w:rsidP="0042013D">
      <w:r>
        <w:t>These online offer management platforms are widely perceived as fairer and more transparent than the traditional estate-agent-mediated process. Recent survey evidence from the ESRI confirms this perception: when asked to design a fair system for transacting property, a majority of a nationally representative Irish sample selected online visible platforms as their preferred bidding mechanism (Robertson et al., 2026). However, the same study provides experimental evidence that challenges the assumption that transparency benefits buyers. In a simulated auction experiment, online platforms</w:t>
      </w:r>
      <w:r>
        <w:t xml:space="preserve"> and more generally </w:t>
      </w:r>
      <w:r>
        <w:t>open bidding systems led participants to bid significantly higher than in sealed-bid conditions, often exceeding their self-stated ideal budgets. This suggests that the competitive visibility inherent in transparent platforms may activate behavioural mechanisms such as auction fever and loss aversion that push prices upward (Kahneman &amp; Tversky, 1979; McGee, 2013).</w:t>
      </w:r>
    </w:p>
    <w:p w14:paraId="0175E45B" w14:textId="77777777" w:rsidR="0042013D" w:rsidRDefault="0042013D" w:rsidP="0042013D"/>
    <w:p w14:paraId="22C61C13" w14:textId="77777777" w:rsidR="0042013D" w:rsidRDefault="0042013D" w:rsidP="0042013D">
      <w:r>
        <w:t>These experimental findings raise an important question: do similar dynamics manifest in real-world property transactions conducted on online platforms? To date, this question has remained largely unanswered due to the difficulty of obtaining detailed transactional data from live negotiations. This paper addresses this gap by presenting the first descriptive field evidence on the structure and dynamics of online private treaty negotiations in Ireland.</w:t>
      </w:r>
    </w:p>
    <w:p w14:paraId="252FD468" w14:textId="77777777" w:rsidR="0042013D" w:rsidRDefault="0042013D" w:rsidP="0042013D"/>
    <w:p w14:paraId="36F44E0B" w14:textId="00BB983C" w:rsidR="0042013D" w:rsidRPr="0042013D" w:rsidRDefault="0042013D" w:rsidP="0042013D">
      <w:pPr>
        <w:rPr>
          <w:b/>
          <w:bCs/>
        </w:rPr>
      </w:pPr>
      <w:r w:rsidRPr="0042013D">
        <w:rPr>
          <w:b/>
          <w:bCs/>
        </w:rPr>
        <w:t>Data and Methods</w:t>
      </w:r>
    </w:p>
    <w:p w14:paraId="5562DD4A" w14:textId="77777777" w:rsidR="0042013D" w:rsidRDefault="0042013D" w:rsidP="0042013D"/>
    <w:p w14:paraId="4CD04795" w14:textId="77777777" w:rsidR="0042013D" w:rsidRDefault="0042013D" w:rsidP="0042013D">
      <w:r>
        <w:t>We analyse a dataset of high-fidelity transactional logs from an online offer management platform operating in Ireland between 2018 and 2024. The raw data consists of anonymised individual offer events, where each entry is recorded with a timestamp, a property-scoped buyer identifier, the offer amount in euro, and a dataset-scoped property identifier. After filtering to include only negotiations with more than one participating party, the dataset comprises 629 properties and 1,922 unique buyer-property pairs, of which 29% correspond to the party who submitted the highest final recorded offer.</w:t>
      </w:r>
    </w:p>
    <w:p w14:paraId="6D5707F3" w14:textId="77777777" w:rsidR="0042013D" w:rsidRDefault="0042013D" w:rsidP="0042013D"/>
    <w:p w14:paraId="3ED8F9E7" w14:textId="77777777" w:rsidR="0042013D" w:rsidRDefault="0042013D" w:rsidP="0042013D">
      <w:r>
        <w:t xml:space="preserve">From these sequential records, we reconstruct the behavioural profile of each negotiation and its participants. At the property level, we compute the number of active participants, the total number of offers, the duration of the negotiation window (from first to last offer), and the trajectory of offer escalation over time. At the participant level, we calculate the average offer increment (the mean difference between each offer and the immediately </w:t>
      </w:r>
      <w:r>
        <w:lastRenderedPageBreak/>
        <w:t>preceding offer in the sequence), the average response latency (the mean time elapsed between the previous offer and the participant's counter-offer), and the number of offers placed. We present descriptive statistics for each of these measures and examine how they covary with the intensity of competition on each listing.</w:t>
      </w:r>
    </w:p>
    <w:p w14:paraId="24F7D9BA" w14:textId="77777777" w:rsidR="0042013D" w:rsidRDefault="0042013D" w:rsidP="0042013D"/>
    <w:p w14:paraId="536880FF" w14:textId="594354C4" w:rsidR="0042013D" w:rsidRPr="001E2064" w:rsidRDefault="0042013D" w:rsidP="0042013D">
      <w:pPr>
        <w:rPr>
          <w:b/>
          <w:bCs/>
        </w:rPr>
      </w:pPr>
      <w:r w:rsidRPr="001E2064">
        <w:rPr>
          <w:b/>
          <w:bCs/>
        </w:rPr>
        <w:t>Preliminary Results</w:t>
      </w:r>
    </w:p>
    <w:p w14:paraId="6B299AF7" w14:textId="77777777" w:rsidR="0042013D" w:rsidRDefault="0042013D" w:rsidP="0042013D"/>
    <w:p w14:paraId="362AD7E3" w14:textId="0CABD030" w:rsidR="0042013D" w:rsidRDefault="0042013D" w:rsidP="0042013D">
      <w:r>
        <w:t>The descriptive evidence reveals a market characterised by moderate but meaningful competition. The average property attracted approximately 3 active participants, with each participant placing an average of 4 offers over the course of the negotiation. The mean offer increment across all participants was €3,107 (SD = €2,835), with a minimum of €500 and a maximum of €45,000, indicating substantial heterogeneity in bidding behaviour. The average response latency between consecutive offers was approximately 42 hours (SD = 115 hours), suggesting considerable variation in the pace of negotiations</w:t>
      </w:r>
      <w:r w:rsidR="001E2064">
        <w:t>,</w:t>
      </w:r>
      <w:r>
        <w:t xml:space="preserve"> from rapid exchanges within minutes to extended deliberations spanning days or weeks.</w:t>
      </w:r>
    </w:p>
    <w:p w14:paraId="24A8F75C" w14:textId="77777777" w:rsidR="0042013D" w:rsidRDefault="0042013D" w:rsidP="0042013D"/>
    <w:p w14:paraId="01263A60" w14:textId="458060FD" w:rsidR="0042013D" w:rsidRDefault="0042013D" w:rsidP="0042013D">
      <w:r>
        <w:t>Preliminary analysis of the relationship between participation intensity and price outcomes suggests that properties attracting more bidders tend to achieve larger premiums above the initial offer.</w:t>
      </w:r>
    </w:p>
    <w:p w14:paraId="329A1FF6" w14:textId="77777777" w:rsidR="0042013D" w:rsidRDefault="0042013D" w:rsidP="0042013D"/>
    <w:p w14:paraId="5DC8E4DA" w14:textId="2C3D4884" w:rsidR="0042013D" w:rsidRPr="00C17F33" w:rsidRDefault="0042013D" w:rsidP="0042013D">
      <w:pPr>
        <w:rPr>
          <w:b/>
          <w:bCs/>
        </w:rPr>
      </w:pPr>
      <w:r w:rsidRPr="00C17F33">
        <w:rPr>
          <w:b/>
          <w:bCs/>
        </w:rPr>
        <w:t>Discussion</w:t>
      </w:r>
    </w:p>
    <w:p w14:paraId="7F006548" w14:textId="77777777" w:rsidR="0042013D" w:rsidRDefault="0042013D" w:rsidP="0042013D"/>
    <w:p w14:paraId="4D3A7AD5" w14:textId="0F12D678" w:rsidR="0042013D" w:rsidRDefault="0042013D" w:rsidP="0042013D">
      <w:r>
        <w:t>These findings provide the first field-level characterisation of online private treaty negotiations in the Irish residential property market</w:t>
      </w:r>
      <w:r w:rsidR="00C17F33">
        <w:t xml:space="preserve"> to</w:t>
      </w:r>
      <w:r>
        <w:t xml:space="preserve"> complement the experimental evidence of Robertson et al. (2026) by confirming that real-world online negotiations involve meaningful competitive dynamics </w:t>
      </w:r>
      <w:r w:rsidR="00C17F33">
        <w:t>with</w:t>
      </w:r>
      <w:r>
        <w:t xml:space="preserve"> multiple participants engaging in sequences of escalating offers over extended periods.</w:t>
      </w:r>
    </w:p>
    <w:p w14:paraId="6E6F52FA" w14:textId="77777777" w:rsidR="0042013D" w:rsidRDefault="0042013D" w:rsidP="0042013D"/>
    <w:p w14:paraId="3FCF254D" w14:textId="60BA626E" w:rsidR="0042013D" w:rsidRDefault="0042013D" w:rsidP="0042013D">
      <w:r>
        <w:t>While online platforms are publicly favoured for their transparency, understanding the competitive dynamics they generate is essential for evaluating whether their design serves the interests of all market participants. Future work will extend this descriptive analysis to examine the specific offer-level behaviours associated with different negotiation outcomes.</w:t>
      </w:r>
    </w:p>
    <w:p w14:paraId="08D6C4C8" w14:textId="77777777" w:rsidR="0042013D" w:rsidRDefault="0042013D" w:rsidP="0042013D"/>
    <w:p w14:paraId="6BD48A02" w14:textId="070300E1" w:rsidR="001E2064" w:rsidRPr="001E2064" w:rsidRDefault="0042013D" w:rsidP="0042013D">
      <w:pPr>
        <w:rPr>
          <w:b/>
          <w:bCs/>
        </w:rPr>
      </w:pPr>
      <w:r w:rsidRPr="001E2064">
        <w:rPr>
          <w:b/>
          <w:bCs/>
        </w:rPr>
        <w:t>Keywords</w:t>
      </w:r>
    </w:p>
    <w:p w14:paraId="6E8E9A8E" w14:textId="77777777" w:rsidR="001E2064" w:rsidRDefault="001E2064" w:rsidP="0042013D"/>
    <w:p w14:paraId="3247DCE9" w14:textId="53BF578D" w:rsidR="0042013D" w:rsidRDefault="0042013D" w:rsidP="0042013D">
      <w:r>
        <w:t>Online property platforms, price transparency, private treaty negotiations, bidding systems, behavioural economics, Irish housing market</w:t>
      </w:r>
    </w:p>
    <w:p w14:paraId="09F2AF97" w14:textId="77777777" w:rsidR="0042013D" w:rsidRDefault="0042013D" w:rsidP="0042013D"/>
    <w:p w14:paraId="406BCB97" w14:textId="58DB2807" w:rsidR="0042013D" w:rsidRPr="001E2064" w:rsidRDefault="0042013D" w:rsidP="0042013D">
      <w:pPr>
        <w:rPr>
          <w:b/>
          <w:bCs/>
        </w:rPr>
      </w:pPr>
      <w:r w:rsidRPr="001E2064">
        <w:rPr>
          <w:b/>
          <w:bCs/>
        </w:rPr>
        <w:t>References</w:t>
      </w:r>
    </w:p>
    <w:p w14:paraId="32C81522" w14:textId="77777777" w:rsidR="0042013D" w:rsidRDefault="0042013D" w:rsidP="0042013D"/>
    <w:p w14:paraId="40DF87F4" w14:textId="18678EEC" w:rsidR="0042013D" w:rsidRDefault="0042013D" w:rsidP="0042013D">
      <w:r>
        <w:t xml:space="preserve">Kahneman, D., &amp; Tversky, A. (1979). Prospect theory: An analysis of decision under risk. </w:t>
      </w:r>
      <w:proofErr w:type="spellStart"/>
      <w:r>
        <w:t>Econometrica</w:t>
      </w:r>
      <w:proofErr w:type="spellEnd"/>
      <w:r>
        <w:t>, 47(2), 263–291.</w:t>
      </w:r>
    </w:p>
    <w:p w14:paraId="5A6F63DF" w14:textId="77777777" w:rsidR="0042013D" w:rsidRDefault="0042013D" w:rsidP="0042013D"/>
    <w:p w14:paraId="7E573FBE" w14:textId="2FD35628" w:rsidR="0042013D" w:rsidRDefault="0042013D" w:rsidP="0042013D">
      <w:r>
        <w:t>Lunn, P., Shier, A.J., Belton, C., &amp; McGowan, F. (2025). Buying and selling houses in Ireland: Behavioural economic evidence for reform. ESRI Working Paper, No. 811.</w:t>
      </w:r>
    </w:p>
    <w:p w14:paraId="18D29BC6" w14:textId="77777777" w:rsidR="001E2064" w:rsidRDefault="001E2064" w:rsidP="0042013D"/>
    <w:p w14:paraId="64260947" w14:textId="73A3F3F0" w:rsidR="001E2064" w:rsidRDefault="001E2064" w:rsidP="0042013D">
      <w:r w:rsidRPr="001E2064">
        <w:lastRenderedPageBreak/>
        <w:t xml:space="preserve">McGee, P. (2013). Bidding in private-value auctions with uncertain values. Games and Economic </w:t>
      </w:r>
      <w:proofErr w:type="spellStart"/>
      <w:r w:rsidRPr="001E2064">
        <w:t>Behavior</w:t>
      </w:r>
      <w:proofErr w:type="spellEnd"/>
      <w:r w:rsidRPr="001E2064">
        <w:t>, 82, 312–326.</w:t>
      </w:r>
    </w:p>
    <w:p w14:paraId="2CD2017A" w14:textId="77777777" w:rsidR="0042013D" w:rsidRDefault="0042013D" w:rsidP="0042013D"/>
    <w:p w14:paraId="0F8F80BC" w14:textId="7A33AEE5" w:rsidR="0042013D" w:rsidRDefault="0042013D" w:rsidP="0042013D">
      <w:r>
        <w:t>Robertson, D., Shier, A.J., Timmons, S., &amp; Lunn, P. (2026). Buying and selling property in Ireland: Behavioural evidence on bidding systems, stressors and market comprehension. ESRI Research Series, No. 226.</w:t>
      </w:r>
    </w:p>
    <w:p w14:paraId="21066211" w14:textId="365E8267" w:rsidR="00613DBD" w:rsidRPr="00613DBD" w:rsidRDefault="00613DBD" w:rsidP="0042013D"/>
    <w:sectPr w:rsidR="00613DBD" w:rsidRPr="00613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BD"/>
    <w:rsid w:val="001E2064"/>
    <w:rsid w:val="002B2E47"/>
    <w:rsid w:val="0031250A"/>
    <w:rsid w:val="003407FF"/>
    <w:rsid w:val="0042013D"/>
    <w:rsid w:val="00517BCD"/>
    <w:rsid w:val="005539E5"/>
    <w:rsid w:val="00566B0E"/>
    <w:rsid w:val="00613DBD"/>
    <w:rsid w:val="006D1B03"/>
    <w:rsid w:val="00980F91"/>
    <w:rsid w:val="00BF49CC"/>
    <w:rsid w:val="00C154F4"/>
    <w:rsid w:val="00C17F33"/>
    <w:rsid w:val="00C8479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AE66723"/>
  <w15:chartTrackingRefBased/>
  <w15:docId w15:val="{5B7555A8-217D-FF4D-ABEC-62EF1DC1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D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D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D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D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DBD"/>
    <w:rPr>
      <w:rFonts w:eastAsiaTheme="majorEastAsia" w:cstheme="majorBidi"/>
      <w:color w:val="272727" w:themeColor="text1" w:themeTint="D8"/>
    </w:rPr>
  </w:style>
  <w:style w:type="paragraph" w:styleId="Title">
    <w:name w:val="Title"/>
    <w:basedOn w:val="Normal"/>
    <w:next w:val="Normal"/>
    <w:link w:val="TitleChar"/>
    <w:uiPriority w:val="10"/>
    <w:qFormat/>
    <w:rsid w:val="00613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D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D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DBD"/>
    <w:rPr>
      <w:i/>
      <w:iCs/>
      <w:color w:val="404040" w:themeColor="text1" w:themeTint="BF"/>
    </w:rPr>
  </w:style>
  <w:style w:type="paragraph" w:styleId="ListParagraph">
    <w:name w:val="List Paragraph"/>
    <w:basedOn w:val="Normal"/>
    <w:uiPriority w:val="34"/>
    <w:qFormat/>
    <w:rsid w:val="00613DBD"/>
    <w:pPr>
      <w:ind w:left="720"/>
      <w:contextualSpacing/>
    </w:pPr>
  </w:style>
  <w:style w:type="character" w:styleId="IntenseEmphasis">
    <w:name w:val="Intense Emphasis"/>
    <w:basedOn w:val="DefaultParagraphFont"/>
    <w:uiPriority w:val="21"/>
    <w:qFormat/>
    <w:rsid w:val="00613DBD"/>
    <w:rPr>
      <w:i/>
      <w:iCs/>
      <w:color w:val="2F5496" w:themeColor="accent1" w:themeShade="BF"/>
    </w:rPr>
  </w:style>
  <w:style w:type="paragraph" w:styleId="IntenseQuote">
    <w:name w:val="Intense Quote"/>
    <w:basedOn w:val="Normal"/>
    <w:next w:val="Normal"/>
    <w:link w:val="IntenseQuoteChar"/>
    <w:uiPriority w:val="30"/>
    <w:qFormat/>
    <w:rsid w:val="00613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DBD"/>
    <w:rPr>
      <w:i/>
      <w:iCs/>
      <w:color w:val="2F5496" w:themeColor="accent1" w:themeShade="BF"/>
    </w:rPr>
  </w:style>
  <w:style w:type="character" w:styleId="IntenseReference">
    <w:name w:val="Intense Reference"/>
    <w:basedOn w:val="DefaultParagraphFont"/>
    <w:uiPriority w:val="32"/>
    <w:qFormat/>
    <w:rsid w:val="00613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Dupré</dc:creator>
  <cp:keywords/>
  <dc:description/>
  <cp:lastModifiedBy>Damien Dupré</cp:lastModifiedBy>
  <cp:revision>4</cp:revision>
  <dcterms:created xsi:type="dcterms:W3CDTF">2026-02-26T11:23:00Z</dcterms:created>
  <dcterms:modified xsi:type="dcterms:W3CDTF">2026-02-26T12:04:00Z</dcterms:modified>
</cp:coreProperties>
</file>