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2057400" cy="3533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eycentrix-template-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3533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520"/>
      </w:pPr>
      <w:r>
        <w:rPr>
          <w:rFonts w:ascii="Calibri" w:hAnsi="Calibri"/>
          <w:b/>
          <w:color w:val="1C75BC"/>
          <w:sz w:val="48"/>
        </w:rPr>
        <w:t>KCXDocumentor - Demo Script and Storyboard</w:t>
      </w:r>
    </w:p>
    <w:p>
      <w:r>
        <w:rPr>
          <w:rFonts w:ascii="Calibri" w:hAnsi="Calibri"/>
          <w:color w:val="6B7280"/>
          <w:sz w:val="24"/>
        </w:rPr>
        <w:t>Executive walkthrough script for the internal documentation workflow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3FB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6" w:color="8CC63F"/>
              <w:left w:val="single" w:sz="6" w:color="8CC63F"/>
              <w:bottom w:val="single" w:sz="6" w:color="8CC63F"/>
              <w:right w:val="single" w:sz="6" w:color="8CC63F"/>
            </w:tcBorders>
          </w:tcPr>
          <w:p>
            <w:r>
              <w:rPr>
                <w:rFonts w:ascii="Calibri" w:hAnsi="Calibri"/>
                <w:b/>
                <w:color w:val="1C75BC"/>
                <w:sz w:val="22"/>
              </w:rPr>
              <w:t>Recipe alignment</w:t>
            </w:r>
          </w:p>
          <w:p>
            <w:r>
              <w:rPr>
                <w:rFonts w:ascii="Calibri" w:hAnsi="Calibri"/>
                <w:color w:val="1F2937"/>
                <w:sz w:val="20"/>
              </w:rPr>
              <w:t>Built as a keycentrix internal artifact using the DamienDev document recipe structure: control metadata, version history, purpose, scope, audience, governance, process detail, and appendices.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C75B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7DDE0"/>
              <w:left w:val="single" w:sz="4" w:color="D7DDE0"/>
              <w:bottom w:val="single" w:sz="4" w:color="D7DDE0"/>
              <w:right w:val="single" w:sz="4" w:color="D7DDE0"/>
            </w:tcBorders>
          </w:tcPr>
          <w:p>
            <w:r>
              <w:rPr>
                <w:b/>
                <w:color w:val="FFFFFF"/>
              </w:rPr>
              <w:t>Metadata Field</w:t>
            </w:r>
          </w:p>
        </w:tc>
        <w:tc>
          <w:tcPr>
            <w:tcW w:type="dxa" w:w="6912"/>
            <w:shd w:fill="1C75B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7DDE0"/>
              <w:left w:val="single" w:sz="4" w:color="D7DDE0"/>
              <w:bottom w:val="single" w:sz="4" w:color="D7DDE0"/>
              <w:right w:val="single" w:sz="4" w:color="D7DDE0"/>
            </w:tcBorders>
          </w:tcPr>
          <w:p>
            <w:r>
              <w:rPr>
                <w:b/>
                <w:color w:val="FFFFFF"/>
              </w:rPr>
              <w:t>Document Value</w:t>
            </w:r>
          </w:p>
        </w:tc>
      </w:tr>
      <w:tr>
        <w:tc>
          <w:tcPr>
            <w:tcW w:type="dxa" w:w="2880"/>
            <w:vAlign w:val="center"/>
            <w:shd w:fill="F3F4F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7DDE0"/>
              <w:left w:val="single" w:sz="4" w:color="D7DDE0"/>
              <w:bottom w:val="single" w:sz="4" w:color="D7DDE0"/>
              <w:right w:val="single" w:sz="4" w:color="D7DDE0"/>
            </w:tcBorders>
          </w:tcPr>
          <w:p>
            <w:r>
              <w:rPr>
                <w:rFonts w:ascii="Calibri" w:hAnsi="Calibri"/>
                <w:b/>
                <w:color w:val="1F2937"/>
                <w:sz w:val="19"/>
              </w:rPr>
              <w:t>Document ID</w:t>
            </w:r>
          </w:p>
        </w:tc>
        <w:tc>
          <w:tcPr>
            <w:tcW w:type="dxa" w:w="6912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7DDE0"/>
              <w:left w:val="single" w:sz="4" w:color="D7DDE0"/>
              <w:bottom w:val="single" w:sz="4" w:color="D7DDE0"/>
              <w:right w:val="single" w:sz="4" w:color="D7DDE0"/>
            </w:tcBorders>
          </w:tcPr>
          <w:p>
            <w:r>
              <w:rPr>
                <w:rFonts w:ascii="Calibri" w:hAnsi="Calibri"/>
                <w:color w:val="1F2937"/>
                <w:sz w:val="19"/>
              </w:rPr>
              <w:t>KCXDOC-DEMO-001</w:t>
            </w:r>
          </w:p>
        </w:tc>
      </w:tr>
      <w:tr>
        <w:tc>
          <w:tcPr>
            <w:tcW w:type="dxa" w:w="2880"/>
            <w:vAlign w:val="center"/>
            <w:shd w:fill="F3F4F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7DDE0"/>
              <w:left w:val="single" w:sz="4" w:color="D7DDE0"/>
              <w:bottom w:val="single" w:sz="4" w:color="D7DDE0"/>
              <w:right w:val="single" w:sz="4" w:color="D7DDE0"/>
            </w:tcBorders>
          </w:tcPr>
          <w:p>
            <w:r>
              <w:rPr>
                <w:rFonts w:ascii="Calibri" w:hAnsi="Calibri"/>
                <w:b/>
                <w:color w:val="1F2937"/>
                <w:sz w:val="19"/>
              </w:rPr>
              <w:t>Version</w:t>
            </w:r>
          </w:p>
        </w:tc>
        <w:tc>
          <w:tcPr>
            <w:tcW w:type="dxa" w:w="6912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7DDE0"/>
              <w:left w:val="single" w:sz="4" w:color="D7DDE0"/>
              <w:bottom w:val="single" w:sz="4" w:color="D7DDE0"/>
              <w:right w:val="single" w:sz="4" w:color="D7DDE0"/>
            </w:tcBorders>
          </w:tcPr>
          <w:p>
            <w:r>
              <w:rPr>
                <w:rFonts w:ascii="Calibri" w:hAnsi="Calibri"/>
                <w:color w:val="1F2937"/>
                <w:sz w:val="19"/>
              </w:rPr>
              <w:t>1.0</w:t>
            </w:r>
          </w:p>
        </w:tc>
      </w:tr>
      <w:tr>
        <w:tc>
          <w:tcPr>
            <w:tcW w:type="dxa" w:w="2880"/>
            <w:vAlign w:val="center"/>
            <w:shd w:fill="F3F4F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7DDE0"/>
              <w:left w:val="single" w:sz="4" w:color="D7DDE0"/>
              <w:bottom w:val="single" w:sz="4" w:color="D7DDE0"/>
              <w:right w:val="single" w:sz="4" w:color="D7DDE0"/>
            </w:tcBorders>
          </w:tcPr>
          <w:p>
            <w:r>
              <w:rPr>
                <w:rFonts w:ascii="Calibri" w:hAnsi="Calibri"/>
                <w:b/>
                <w:color w:val="1F2937"/>
                <w:sz w:val="19"/>
              </w:rPr>
              <w:t>Effective Date</w:t>
            </w:r>
          </w:p>
        </w:tc>
        <w:tc>
          <w:tcPr>
            <w:tcW w:type="dxa" w:w="6912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7DDE0"/>
              <w:left w:val="single" w:sz="4" w:color="D7DDE0"/>
              <w:bottom w:val="single" w:sz="4" w:color="D7DDE0"/>
              <w:right w:val="single" w:sz="4" w:color="D7DDE0"/>
            </w:tcBorders>
          </w:tcPr>
          <w:p>
            <w:r>
              <w:rPr>
                <w:rFonts w:ascii="Calibri" w:hAnsi="Calibri"/>
                <w:color w:val="1F2937"/>
                <w:sz w:val="19"/>
              </w:rPr>
              <w:t>2026-06-05</w:t>
            </w:r>
          </w:p>
        </w:tc>
      </w:tr>
      <w:tr>
        <w:tc>
          <w:tcPr>
            <w:tcW w:type="dxa" w:w="2880"/>
            <w:vAlign w:val="center"/>
            <w:shd w:fill="F3F4F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7DDE0"/>
              <w:left w:val="single" w:sz="4" w:color="D7DDE0"/>
              <w:bottom w:val="single" w:sz="4" w:color="D7DDE0"/>
              <w:right w:val="single" w:sz="4" w:color="D7DDE0"/>
            </w:tcBorders>
          </w:tcPr>
          <w:p>
            <w:r>
              <w:rPr>
                <w:rFonts w:ascii="Calibri" w:hAnsi="Calibri"/>
                <w:b/>
                <w:color w:val="1F2937"/>
                <w:sz w:val="19"/>
              </w:rPr>
              <w:t>Status</w:t>
            </w:r>
          </w:p>
        </w:tc>
        <w:tc>
          <w:tcPr>
            <w:tcW w:type="dxa" w:w="6912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7DDE0"/>
              <w:left w:val="single" w:sz="4" w:color="D7DDE0"/>
              <w:bottom w:val="single" w:sz="4" w:color="D7DDE0"/>
              <w:right w:val="single" w:sz="4" w:color="D7DDE0"/>
            </w:tcBorders>
          </w:tcPr>
          <w:p>
            <w:r>
              <w:rPr>
                <w:rFonts w:ascii="Calibri" w:hAnsi="Calibri"/>
                <w:color w:val="1F2937"/>
                <w:sz w:val="19"/>
              </w:rPr>
              <w:t>Internal demonstration ready</w:t>
            </w:r>
          </w:p>
        </w:tc>
      </w:tr>
      <w:tr>
        <w:tc>
          <w:tcPr>
            <w:tcW w:type="dxa" w:w="2880"/>
            <w:vAlign w:val="center"/>
            <w:shd w:fill="F3F4F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7DDE0"/>
              <w:left w:val="single" w:sz="4" w:color="D7DDE0"/>
              <w:bottom w:val="single" w:sz="4" w:color="D7DDE0"/>
              <w:right w:val="single" w:sz="4" w:color="D7DDE0"/>
            </w:tcBorders>
          </w:tcPr>
          <w:p>
            <w:r>
              <w:rPr>
                <w:rFonts w:ascii="Calibri" w:hAnsi="Calibri"/>
                <w:b/>
                <w:color w:val="1F2937"/>
                <w:sz w:val="19"/>
              </w:rPr>
              <w:t>Owner</w:t>
            </w:r>
          </w:p>
        </w:tc>
        <w:tc>
          <w:tcPr>
            <w:tcW w:type="dxa" w:w="6912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7DDE0"/>
              <w:left w:val="single" w:sz="4" w:color="D7DDE0"/>
              <w:bottom w:val="single" w:sz="4" w:color="D7DDE0"/>
              <w:right w:val="single" w:sz="4" w:color="D7DDE0"/>
            </w:tcBorders>
          </w:tcPr>
          <w:p>
            <w:r>
              <w:rPr>
                <w:rFonts w:ascii="Calibri" w:hAnsi="Calibri"/>
                <w:color w:val="1F2937"/>
                <w:sz w:val="19"/>
              </w:rPr>
              <w:t>keycentrix Product and Training</w:t>
            </w:r>
          </w:p>
        </w:tc>
      </w:tr>
      <w:tr>
        <w:tc>
          <w:tcPr>
            <w:tcW w:type="dxa" w:w="2880"/>
            <w:vAlign w:val="center"/>
            <w:shd w:fill="F3F4F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7DDE0"/>
              <w:left w:val="single" w:sz="4" w:color="D7DDE0"/>
              <w:bottom w:val="single" w:sz="4" w:color="D7DDE0"/>
              <w:right w:val="single" w:sz="4" w:color="D7DDE0"/>
            </w:tcBorders>
          </w:tcPr>
          <w:p>
            <w:r>
              <w:rPr>
                <w:rFonts w:ascii="Calibri" w:hAnsi="Calibri"/>
                <w:b/>
                <w:color w:val="1F2937"/>
                <w:sz w:val="19"/>
              </w:rPr>
              <w:t>Audience</w:t>
            </w:r>
          </w:p>
        </w:tc>
        <w:tc>
          <w:tcPr>
            <w:tcW w:type="dxa" w:w="6912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7DDE0"/>
              <w:left w:val="single" w:sz="4" w:color="D7DDE0"/>
              <w:bottom w:val="single" w:sz="4" w:color="D7DDE0"/>
              <w:right w:val="single" w:sz="4" w:color="D7DDE0"/>
            </w:tcBorders>
          </w:tcPr>
          <w:p>
            <w:r>
              <w:rPr>
                <w:rFonts w:ascii="Calibri" w:hAnsi="Calibri"/>
                <w:color w:val="1F2937"/>
                <w:sz w:val="19"/>
              </w:rPr>
              <w:t>Executive sponsors, product leadership, trainers, business analysts, and implementation leads</w:t>
            </w:r>
          </w:p>
        </w:tc>
      </w:tr>
      <w:tr>
        <w:tc>
          <w:tcPr>
            <w:tcW w:type="dxa" w:w="2880"/>
            <w:vAlign w:val="center"/>
            <w:shd w:fill="F3F4F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7DDE0"/>
              <w:left w:val="single" w:sz="4" w:color="D7DDE0"/>
              <w:bottom w:val="single" w:sz="4" w:color="D7DDE0"/>
              <w:right w:val="single" w:sz="4" w:color="D7DDE0"/>
            </w:tcBorders>
          </w:tcPr>
          <w:p>
            <w:r>
              <w:rPr>
                <w:rFonts w:ascii="Calibri" w:hAnsi="Calibri"/>
                <w:b/>
                <w:color w:val="1F2937"/>
                <w:sz w:val="19"/>
              </w:rPr>
              <w:t>Build Standard</w:t>
            </w:r>
          </w:p>
        </w:tc>
        <w:tc>
          <w:tcPr>
            <w:tcW w:type="dxa" w:w="6912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7DDE0"/>
              <w:left w:val="single" w:sz="4" w:color="D7DDE0"/>
              <w:bottom w:val="single" w:sz="4" w:color="D7DDE0"/>
              <w:right w:val="single" w:sz="4" w:color="D7DDE0"/>
            </w:tcBorders>
          </w:tcPr>
          <w:p>
            <w:r>
              <w:rPr>
                <w:rFonts w:ascii="Calibri" w:hAnsi="Calibri"/>
                <w:color w:val="1F2937"/>
                <w:sz w:val="19"/>
              </w:rPr>
              <w:t>DamienDev document recipe</w:t>
            </w:r>
          </w:p>
        </w:tc>
      </w:tr>
    </w:tbl>
    <w:p/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C75B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7DDE0"/>
              <w:left w:val="single" w:sz="4" w:color="D7DDE0"/>
              <w:bottom w:val="single" w:sz="4" w:color="D7DDE0"/>
              <w:right w:val="single" w:sz="4" w:color="D7DDE0"/>
            </w:tcBorders>
          </w:tcPr>
          <w:p>
            <w:r>
              <w:rPr>
                <w:b/>
                <w:color w:val="FFFFFF"/>
              </w:rPr>
              <w:t>Control</w:t>
            </w:r>
          </w:p>
        </w:tc>
        <w:tc>
          <w:tcPr>
            <w:tcW w:type="dxa" w:w="5040"/>
            <w:shd w:fill="1C75B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7DDE0"/>
              <w:left w:val="single" w:sz="4" w:color="D7DDE0"/>
              <w:bottom w:val="single" w:sz="4" w:color="D7DDE0"/>
              <w:right w:val="single" w:sz="4" w:color="D7DDE0"/>
            </w:tcBorders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5040"/>
            <w:vAlign w:val="center"/>
            <w:shd w:fill="F3F4F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7DDE0"/>
              <w:left w:val="single" w:sz="4" w:color="D7DDE0"/>
              <w:bottom w:val="single" w:sz="4" w:color="D7DDE0"/>
              <w:right w:val="single" w:sz="4" w:color="D7DDE0"/>
            </w:tcBorders>
          </w:tcPr>
          <w:p>
            <w:r>
              <w:rPr>
                <w:rFonts w:ascii="Calibri" w:hAnsi="Calibri"/>
                <w:b/>
                <w:color w:val="1F2937"/>
                <w:sz w:val="19"/>
              </w:rPr>
              <w:t>Document Title</w:t>
            </w:r>
          </w:p>
        </w:tc>
        <w:tc>
          <w:tcPr>
            <w:tcW w:type="dxa" w:w="504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7DDE0"/>
              <w:left w:val="single" w:sz="4" w:color="D7DDE0"/>
              <w:bottom w:val="single" w:sz="4" w:color="D7DDE0"/>
              <w:right w:val="single" w:sz="4" w:color="D7DDE0"/>
            </w:tcBorders>
          </w:tcPr>
          <w:p>
            <w:r>
              <w:rPr>
                <w:rFonts w:ascii="Calibri" w:hAnsi="Calibri"/>
                <w:color w:val="1F2937"/>
                <w:sz w:val="19"/>
              </w:rPr>
              <w:t>KCXDocumentor - Demo Script and Storyboard</w:t>
            </w:r>
          </w:p>
        </w:tc>
      </w:tr>
      <w:tr>
        <w:tc>
          <w:tcPr>
            <w:tcW w:type="dxa" w:w="5040"/>
            <w:vAlign w:val="center"/>
            <w:shd w:fill="F3F4F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7DDE0"/>
              <w:left w:val="single" w:sz="4" w:color="D7DDE0"/>
              <w:bottom w:val="single" w:sz="4" w:color="D7DDE0"/>
              <w:right w:val="single" w:sz="4" w:color="D7DDE0"/>
            </w:tcBorders>
          </w:tcPr>
          <w:p>
            <w:r>
              <w:rPr>
                <w:rFonts w:ascii="Calibri" w:hAnsi="Calibri"/>
                <w:b/>
                <w:color w:val="1F2937"/>
                <w:sz w:val="19"/>
              </w:rPr>
              <w:t>Document ID</w:t>
            </w:r>
          </w:p>
        </w:tc>
        <w:tc>
          <w:tcPr>
            <w:tcW w:type="dxa" w:w="504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7DDE0"/>
              <w:left w:val="single" w:sz="4" w:color="D7DDE0"/>
              <w:bottom w:val="single" w:sz="4" w:color="D7DDE0"/>
              <w:right w:val="single" w:sz="4" w:color="D7DDE0"/>
            </w:tcBorders>
          </w:tcPr>
          <w:p>
            <w:r>
              <w:rPr>
                <w:rFonts w:ascii="Calibri" w:hAnsi="Calibri"/>
                <w:color w:val="1F2937"/>
                <w:sz w:val="19"/>
              </w:rPr>
              <w:t>KCXDOC-DEMO-001</w:t>
            </w:r>
          </w:p>
        </w:tc>
      </w:tr>
      <w:tr>
        <w:tc>
          <w:tcPr>
            <w:tcW w:type="dxa" w:w="5040"/>
            <w:vAlign w:val="center"/>
            <w:shd w:fill="F3F4F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7DDE0"/>
              <w:left w:val="single" w:sz="4" w:color="D7DDE0"/>
              <w:bottom w:val="single" w:sz="4" w:color="D7DDE0"/>
              <w:right w:val="single" w:sz="4" w:color="D7DDE0"/>
            </w:tcBorders>
          </w:tcPr>
          <w:p>
            <w:r>
              <w:rPr>
                <w:rFonts w:ascii="Calibri" w:hAnsi="Calibri"/>
                <w:b/>
                <w:color w:val="1F2937"/>
                <w:sz w:val="19"/>
              </w:rPr>
              <w:t>Status</w:t>
            </w:r>
          </w:p>
        </w:tc>
        <w:tc>
          <w:tcPr>
            <w:tcW w:type="dxa" w:w="504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7DDE0"/>
              <w:left w:val="single" w:sz="4" w:color="D7DDE0"/>
              <w:bottom w:val="single" w:sz="4" w:color="D7DDE0"/>
              <w:right w:val="single" w:sz="4" w:color="D7DDE0"/>
            </w:tcBorders>
          </w:tcPr>
          <w:p>
            <w:r>
              <w:rPr>
                <w:rFonts w:ascii="Calibri" w:hAnsi="Calibri"/>
                <w:color w:val="1F2937"/>
                <w:sz w:val="19"/>
              </w:rPr>
              <w:t>Internal demonstration ready</w:t>
            </w:r>
          </w:p>
        </w:tc>
      </w:tr>
      <w:tr>
        <w:tc>
          <w:tcPr>
            <w:tcW w:type="dxa" w:w="5040"/>
            <w:vAlign w:val="center"/>
            <w:shd w:fill="F3F4F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7DDE0"/>
              <w:left w:val="single" w:sz="4" w:color="D7DDE0"/>
              <w:bottom w:val="single" w:sz="4" w:color="D7DDE0"/>
              <w:right w:val="single" w:sz="4" w:color="D7DDE0"/>
            </w:tcBorders>
          </w:tcPr>
          <w:p>
            <w:r>
              <w:rPr>
                <w:rFonts w:ascii="Calibri" w:hAnsi="Calibri"/>
                <w:b/>
                <w:color w:val="1F2937"/>
                <w:sz w:val="19"/>
              </w:rPr>
              <w:t>Owner</w:t>
            </w:r>
          </w:p>
        </w:tc>
        <w:tc>
          <w:tcPr>
            <w:tcW w:type="dxa" w:w="504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7DDE0"/>
              <w:left w:val="single" w:sz="4" w:color="D7DDE0"/>
              <w:bottom w:val="single" w:sz="4" w:color="D7DDE0"/>
              <w:right w:val="single" w:sz="4" w:color="D7DDE0"/>
            </w:tcBorders>
          </w:tcPr>
          <w:p>
            <w:r>
              <w:rPr>
                <w:rFonts w:ascii="Calibri" w:hAnsi="Calibri"/>
                <w:color w:val="1F2937"/>
                <w:sz w:val="19"/>
              </w:rPr>
              <w:t>keycentrix Product and Training</w:t>
            </w:r>
          </w:p>
        </w:tc>
      </w:tr>
      <w:tr>
        <w:tc>
          <w:tcPr>
            <w:tcW w:type="dxa" w:w="5040"/>
            <w:vAlign w:val="center"/>
            <w:shd w:fill="F3F4F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7DDE0"/>
              <w:left w:val="single" w:sz="4" w:color="D7DDE0"/>
              <w:bottom w:val="single" w:sz="4" w:color="D7DDE0"/>
              <w:right w:val="single" w:sz="4" w:color="D7DDE0"/>
            </w:tcBorders>
          </w:tcPr>
          <w:p>
            <w:r>
              <w:rPr>
                <w:rFonts w:ascii="Calibri" w:hAnsi="Calibri"/>
                <w:b/>
                <w:color w:val="1F2937"/>
                <w:sz w:val="19"/>
              </w:rPr>
              <w:t>Audience</w:t>
            </w:r>
          </w:p>
        </w:tc>
        <w:tc>
          <w:tcPr>
            <w:tcW w:type="dxa" w:w="504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7DDE0"/>
              <w:left w:val="single" w:sz="4" w:color="D7DDE0"/>
              <w:bottom w:val="single" w:sz="4" w:color="D7DDE0"/>
              <w:right w:val="single" w:sz="4" w:color="D7DDE0"/>
            </w:tcBorders>
          </w:tcPr>
          <w:p>
            <w:r>
              <w:rPr>
                <w:rFonts w:ascii="Calibri" w:hAnsi="Calibri"/>
                <w:color w:val="1F2937"/>
                <w:sz w:val="19"/>
              </w:rPr>
              <w:t>Executive sponsors, product leadership, trainers, business analysts, and implementation leads</w:t>
            </w:r>
          </w:p>
        </w:tc>
      </w:tr>
    </w:tbl>
    <w:p/>
    <w:p>
      <w:pPr>
        <w:pStyle w:val="Heading1"/>
      </w:pPr>
      <w:r>
        <w:t>Version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C75B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7DDE0"/>
              <w:left w:val="single" w:sz="4" w:color="D7DDE0"/>
              <w:bottom w:val="single" w:sz="4" w:color="D7DDE0"/>
              <w:right w:val="single" w:sz="4" w:color="D7DDE0"/>
            </w:tcBorders>
          </w:tcPr>
          <w:p>
            <w:r>
              <w:rPr>
                <w:b/>
                <w:color w:val="FFFFFF"/>
              </w:rPr>
              <w:t>Version</w:t>
            </w:r>
          </w:p>
        </w:tc>
        <w:tc>
          <w:tcPr>
            <w:tcW w:type="dxa" w:w="3360"/>
            <w:shd w:fill="1C75B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7DDE0"/>
              <w:left w:val="single" w:sz="4" w:color="D7DDE0"/>
              <w:bottom w:val="single" w:sz="4" w:color="D7DDE0"/>
              <w:right w:val="single" w:sz="4" w:color="D7DDE0"/>
            </w:tcBorders>
          </w:tcPr>
          <w:p>
            <w:r>
              <w:rPr>
                <w:b/>
                <w:color w:val="FFFFFF"/>
              </w:rPr>
              <w:t>Date</w:t>
            </w:r>
          </w:p>
        </w:tc>
        <w:tc>
          <w:tcPr>
            <w:tcW w:type="dxa" w:w="3360"/>
            <w:shd w:fill="1C75B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7DDE0"/>
              <w:left w:val="single" w:sz="4" w:color="D7DDE0"/>
              <w:bottom w:val="single" w:sz="4" w:color="D7DDE0"/>
              <w:right w:val="single" w:sz="4" w:color="D7DDE0"/>
            </w:tcBorders>
          </w:tcPr>
          <w:p>
            <w:r>
              <w:rPr>
                <w:b/>
                <w:color w:val="FFFFFF"/>
              </w:rPr>
              <w:t>Summary</w:t>
            </w:r>
          </w:p>
        </w:tc>
      </w:tr>
      <w:tr>
        <w:tc>
          <w:tcPr>
            <w:tcW w:type="dxa" w:w="3360"/>
            <w:vAlign w:val="center"/>
            <w:shd w:fill="F3F4F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7DDE0"/>
              <w:left w:val="single" w:sz="4" w:color="D7DDE0"/>
              <w:bottom w:val="single" w:sz="4" w:color="D7DDE0"/>
              <w:right w:val="single" w:sz="4" w:color="D7DDE0"/>
            </w:tcBorders>
          </w:tcPr>
          <w:p>
            <w:r>
              <w:rPr>
                <w:rFonts w:ascii="Calibri" w:hAnsi="Calibri"/>
                <w:b/>
                <w:color w:val="1F2937"/>
                <w:sz w:val="19"/>
              </w:rPr>
              <w:t>1.0</w:t>
            </w:r>
          </w:p>
        </w:tc>
        <w:tc>
          <w:tcPr>
            <w:tcW w:type="dxa" w:w="33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7DDE0"/>
              <w:left w:val="single" w:sz="4" w:color="D7DDE0"/>
              <w:bottom w:val="single" w:sz="4" w:color="D7DDE0"/>
              <w:right w:val="single" w:sz="4" w:color="D7DDE0"/>
            </w:tcBorders>
          </w:tcPr>
          <w:p>
            <w:r>
              <w:rPr>
                <w:rFonts w:ascii="Calibri" w:hAnsi="Calibri"/>
                <w:color w:val="1F2937"/>
                <w:sz w:val="19"/>
              </w:rPr>
              <w:t>2026-06-05</w:t>
            </w:r>
          </w:p>
        </w:tc>
        <w:tc>
          <w:tcPr>
            <w:tcW w:type="dxa" w:w="33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7DDE0"/>
              <w:left w:val="single" w:sz="4" w:color="D7DDE0"/>
              <w:bottom w:val="single" w:sz="4" w:color="D7DDE0"/>
              <w:right w:val="single" w:sz="4" w:color="D7DDE0"/>
            </w:tcBorders>
          </w:tcPr>
          <w:p>
            <w:r>
              <w:rPr>
                <w:rFonts w:ascii="Calibri" w:hAnsi="Calibri"/>
                <w:color w:val="1F2937"/>
                <w:sz w:val="19"/>
              </w:rPr>
              <w:t>Initial collateral package aligned to the DamienDev document recipe.</w:t>
            </w:r>
          </w:p>
        </w:tc>
      </w:tr>
    </w:tbl>
    <w:p/>
    <w:p>
      <w:pPr>
        <w:pStyle w:val="Heading1"/>
      </w:pPr>
      <w:r>
        <w:t>Purpose</w:t>
      </w:r>
    </w:p>
    <w:p>
      <w:r>
        <w:t>Provide a concise 3 to 5 minute demo path that shows how KCXDocumentor turns a local recording into a reviewable Word guide.</w:t>
      </w:r>
    </w:p>
    <w:p>
      <w:pPr>
        <w:pStyle w:val="Heading1"/>
      </w:pPr>
      <w:r>
        <w:t>Executive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4F6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single" w:sz="6" w:color="8CC63F"/>
              <w:left w:val="single" w:sz="6" w:color="8CC63F"/>
              <w:bottom w:val="single" w:sz="6" w:color="8CC63F"/>
              <w:right w:val="single" w:sz="6" w:color="8CC63F"/>
            </w:tcBorders>
          </w:tcPr>
          <w:p>
            <w:r>
              <w:rPr>
                <w:rFonts w:ascii="Calibri" w:hAnsi="Calibri"/>
                <w:b/>
                <w:color w:val="1C75BC"/>
                <w:sz w:val="22"/>
              </w:rPr>
              <w:t>What this document is for</w:t>
            </w:r>
          </w:p>
          <w:p>
            <w:r>
              <w:rPr>
                <w:rFonts w:ascii="Calibri" w:hAnsi="Calibri"/>
                <w:color w:val="1F2937"/>
                <w:sz w:val="20"/>
              </w:rPr>
              <w:t>This file is part of the KCXDocumentor executive package and is intended to be readable as a standalone decision-support artifact.</w:t>
            </w:r>
          </w:p>
        </w:tc>
      </w:tr>
    </w:tbl>
    <w:p/>
    <w:p>
      <w:pPr>
        <w:pStyle w:val="Heading1"/>
      </w:pPr>
      <w:r>
        <w:t>Scope</w:t>
      </w:r>
    </w:p>
    <w:p>
      <w:r>
        <w:t>Covers the recommended demo objective, production notes, storyboard, narration points, and close-out message for the executive review.</w:t>
      </w:r>
    </w:p>
    <w:p>
      <w:pPr>
        <w:pStyle w:val="Heading1"/>
      </w:pPr>
      <w:r>
        <w:t>Intended Audience</w:t>
      </w:r>
    </w:p>
    <w:p>
      <w:r>
        <w:t>Executive sponsors, product leadership, trainers, business analysts, and implementation leads</w:t>
      </w:r>
    </w:p>
    <w:p>
      <w:pPr>
        <w:pStyle w:val="Heading1"/>
      </w:pPr>
      <w:r>
        <w:t>Governing Principles</w:t>
      </w:r>
    </w:p>
    <w:p>
      <w:pPr>
        <w:pStyle w:val="ListBullet"/>
      </w:pPr>
      <w:r>
        <w:t>Keep raw recordings and local processing artifacts on the workstation.</w:t>
      </w:r>
    </w:p>
    <w:p>
      <w:pPr>
        <w:pStyle w:val="ListBullet"/>
      </w:pPr>
      <w:r>
        <w:t>Send compact, reviewer-curated prompt context through the authenticated AI route.</w:t>
      </w:r>
    </w:p>
    <w:p>
      <w:pPr>
        <w:pStyle w:val="ListBullet"/>
      </w:pPr>
      <w:r>
        <w:t>Keep human review in front of customer-facing publication.</w:t>
      </w:r>
    </w:p>
    <w:p>
      <w:pPr>
        <w:pStyle w:val="ListBullet"/>
      </w:pPr>
      <w:r>
        <w:t>Track AI usage centrally by user, document, token count, page count, and estimated cost.</w:t>
      </w:r>
    </w:p>
    <w:p>
      <w:pPr>
        <w:pStyle w:val="Heading1"/>
      </w:pPr>
      <w:r>
        <w:t>Demo Objective</w:t>
      </w:r>
    </w:p>
    <w:p>
      <w:pPr>
        <w:pStyle w:val="ListBullet"/>
      </w:pPr>
      <w:r>
        <w:t>Show the working flow from imported recording to DOCX output.</w:t>
      </w:r>
    </w:p>
    <w:p>
      <w:pPr>
        <w:pStyle w:val="ListBullet"/>
      </w:pPr>
      <w:r>
        <w:t>Emphasize local processing, authenticated AI access, reviewer control, and AI Spend visibility.</w:t>
      </w:r>
    </w:p>
    <w:p>
      <w:pPr>
        <w:pStyle w:val="ListBullet"/>
      </w:pPr>
      <w:r>
        <w:t>Keep the demo centered on the documentation workflow rather than implementation details.</w:t>
      </w:r>
    </w:p>
    <w:p>
      <w:pPr>
        <w:pStyle w:val="Heading1"/>
      </w:pPr>
      <w:r>
        <w:t>Production Notes</w:t>
      </w:r>
    </w:p>
    <w:p>
      <w:pPr>
        <w:pStyle w:val="ListBullet"/>
      </w:pPr>
      <w:r>
        <w:t>Use a real source recording and show the import process.</w:t>
      </w:r>
    </w:p>
    <w:p>
      <w:pPr>
        <w:pStyle w:val="ListBullet"/>
      </w:pPr>
      <w:r>
        <w:t>State that raw video stays local while compact reviewed context is sent through the authenticated AI route.</w:t>
      </w:r>
    </w:p>
    <w:p>
      <w:pPr>
        <w:pStyle w:val="ListBullet"/>
      </w:pPr>
      <w:r>
        <w:t>Show frame approval and rejection because it is the primary quality gate.</w:t>
      </w:r>
    </w:p>
    <w:p>
      <w:pPr>
        <w:pStyle w:val="ListBullet"/>
      </w:pPr>
      <w:r>
        <w:t>Close with the validation ask for trainers and business analysts.</w:t>
      </w:r>
    </w:p>
    <w:p>
      <w:pPr>
        <w:pStyle w:val="Heading1"/>
      </w:pPr>
      <w:r>
        <w:t>Storyboard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C75B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7DDE0"/>
              <w:left w:val="single" w:sz="4" w:color="D7DDE0"/>
              <w:bottom w:val="single" w:sz="4" w:color="D7DDE0"/>
              <w:right w:val="single" w:sz="4" w:color="D7DDE0"/>
            </w:tcBorders>
          </w:tcPr>
          <w:p>
            <w:r>
              <w:rPr>
                <w:b/>
                <w:color w:val="FFFFFF"/>
              </w:rPr>
              <w:t>Segment</w:t>
            </w:r>
          </w:p>
        </w:tc>
        <w:tc>
          <w:tcPr>
            <w:tcW w:type="dxa" w:w="3360"/>
            <w:shd w:fill="1C75B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7DDE0"/>
              <w:left w:val="single" w:sz="4" w:color="D7DDE0"/>
              <w:bottom w:val="single" w:sz="4" w:color="D7DDE0"/>
              <w:right w:val="single" w:sz="4" w:color="D7DDE0"/>
            </w:tcBorders>
          </w:tcPr>
          <w:p>
            <w:r>
              <w:rPr>
                <w:b/>
                <w:color w:val="FFFFFF"/>
              </w:rPr>
              <w:t>Visual</w:t>
            </w:r>
          </w:p>
        </w:tc>
        <w:tc>
          <w:tcPr>
            <w:tcW w:type="dxa" w:w="3360"/>
            <w:shd w:fill="1C75BC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7DDE0"/>
              <w:left w:val="single" w:sz="4" w:color="D7DDE0"/>
              <w:bottom w:val="single" w:sz="4" w:color="D7DDE0"/>
              <w:right w:val="single" w:sz="4" w:color="D7DDE0"/>
            </w:tcBorders>
          </w:tcPr>
          <w:p>
            <w:r>
              <w:rPr>
                <w:b/>
                <w:color w:val="FFFFFF"/>
              </w:rPr>
              <w:t>Narration Focus</w:t>
            </w:r>
          </w:p>
        </w:tc>
      </w:tr>
      <w:tr>
        <w:tc>
          <w:tcPr>
            <w:tcW w:type="dxa" w:w="3360"/>
            <w:vAlign w:val="center"/>
            <w:shd w:fill="F3F4F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7DDE0"/>
              <w:left w:val="single" w:sz="4" w:color="D7DDE0"/>
              <w:bottom w:val="single" w:sz="4" w:color="D7DDE0"/>
              <w:right w:val="single" w:sz="4" w:color="D7DDE0"/>
            </w:tcBorders>
          </w:tcPr>
          <w:p>
            <w:r>
              <w:rPr>
                <w:rFonts w:ascii="Calibri" w:hAnsi="Calibri"/>
                <w:b/>
                <w:color w:val="1F2937"/>
                <w:sz w:val="19"/>
              </w:rPr>
              <w:t>Opening</w:t>
            </w:r>
          </w:p>
        </w:tc>
        <w:tc>
          <w:tcPr>
            <w:tcW w:type="dxa" w:w="33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7DDE0"/>
              <w:left w:val="single" w:sz="4" w:color="D7DDE0"/>
              <w:bottom w:val="single" w:sz="4" w:color="D7DDE0"/>
              <w:right w:val="single" w:sz="4" w:color="D7DDE0"/>
            </w:tcBorders>
          </w:tcPr>
          <w:p>
            <w:r>
              <w:rPr>
                <w:rFonts w:ascii="Calibri" w:hAnsi="Calibri"/>
                <w:color w:val="1F2937"/>
                <w:sz w:val="19"/>
              </w:rPr>
              <w:t>KCXDocumentor workspace</w:t>
            </w:r>
          </w:p>
        </w:tc>
        <w:tc>
          <w:tcPr>
            <w:tcW w:type="dxa" w:w="33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7DDE0"/>
              <w:left w:val="single" w:sz="4" w:color="D7DDE0"/>
              <w:bottom w:val="single" w:sz="4" w:color="D7DDE0"/>
              <w:right w:val="single" w:sz="4" w:color="D7DDE0"/>
            </w:tcBorders>
          </w:tcPr>
          <w:p>
            <w:r>
              <w:rPr>
                <w:rFonts w:ascii="Calibri" w:hAnsi="Calibri"/>
                <w:color w:val="1F2937"/>
                <w:sz w:val="19"/>
              </w:rPr>
              <w:t>Recorded walkthroughs should not require hours of manual documentation work.</w:t>
            </w:r>
          </w:p>
        </w:tc>
      </w:tr>
      <w:tr>
        <w:tc>
          <w:tcPr>
            <w:tcW w:type="dxa" w:w="3360"/>
            <w:vAlign w:val="center"/>
            <w:shd w:fill="F3F4F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7DDE0"/>
              <w:left w:val="single" w:sz="4" w:color="D7DDE0"/>
              <w:bottom w:val="single" w:sz="4" w:color="D7DDE0"/>
              <w:right w:val="single" w:sz="4" w:color="D7DDE0"/>
            </w:tcBorders>
          </w:tcPr>
          <w:p>
            <w:r>
              <w:rPr>
                <w:rFonts w:ascii="Calibri" w:hAnsi="Calibri"/>
                <w:b/>
                <w:color w:val="1F2937"/>
                <w:sz w:val="19"/>
              </w:rPr>
              <w:t>Import</w:t>
            </w:r>
          </w:p>
        </w:tc>
        <w:tc>
          <w:tcPr>
            <w:tcW w:type="dxa" w:w="33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7DDE0"/>
              <w:left w:val="single" w:sz="4" w:color="D7DDE0"/>
              <w:bottom w:val="single" w:sz="4" w:color="D7DDE0"/>
              <w:right w:val="single" w:sz="4" w:color="D7DDE0"/>
            </w:tcBorders>
          </w:tcPr>
          <w:p>
            <w:r>
              <w:rPr>
                <w:rFonts w:ascii="Calibri" w:hAnsi="Calibri"/>
                <w:color w:val="1F2937"/>
                <w:sz w:val="19"/>
              </w:rPr>
              <w:t>Recording and transcript import controls</w:t>
            </w:r>
          </w:p>
        </w:tc>
        <w:tc>
          <w:tcPr>
            <w:tcW w:type="dxa" w:w="33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7DDE0"/>
              <w:left w:val="single" w:sz="4" w:color="D7DDE0"/>
              <w:bottom w:val="single" w:sz="4" w:color="D7DDE0"/>
              <w:right w:val="single" w:sz="4" w:color="D7DDE0"/>
            </w:tcBorders>
          </w:tcPr>
          <w:p>
            <w:r>
              <w:rPr>
                <w:rFonts w:ascii="Calibri" w:hAnsi="Calibri"/>
                <w:color w:val="1F2937"/>
                <w:sz w:val="19"/>
              </w:rPr>
              <w:t>A reviewer imports the source recording and optional transcript.</w:t>
            </w:r>
          </w:p>
        </w:tc>
      </w:tr>
      <w:tr>
        <w:tc>
          <w:tcPr>
            <w:tcW w:type="dxa" w:w="3360"/>
            <w:vAlign w:val="center"/>
            <w:shd w:fill="F3F4F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7DDE0"/>
              <w:left w:val="single" w:sz="4" w:color="D7DDE0"/>
              <w:bottom w:val="single" w:sz="4" w:color="D7DDE0"/>
              <w:right w:val="single" w:sz="4" w:color="D7DDE0"/>
            </w:tcBorders>
          </w:tcPr>
          <w:p>
            <w:r>
              <w:rPr>
                <w:rFonts w:ascii="Calibri" w:hAnsi="Calibri"/>
                <w:b/>
                <w:color w:val="1F2937"/>
                <w:sz w:val="19"/>
              </w:rPr>
              <w:t>Process</w:t>
            </w:r>
          </w:p>
        </w:tc>
        <w:tc>
          <w:tcPr>
            <w:tcW w:type="dxa" w:w="33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7DDE0"/>
              <w:left w:val="single" w:sz="4" w:color="D7DDE0"/>
              <w:bottom w:val="single" w:sz="4" w:color="D7DDE0"/>
              <w:right w:val="single" w:sz="4" w:color="D7DDE0"/>
            </w:tcBorders>
          </w:tcPr>
          <w:p>
            <w:r>
              <w:rPr>
                <w:rFonts w:ascii="Calibri" w:hAnsi="Calibri"/>
                <w:color w:val="1F2937"/>
                <w:sz w:val="19"/>
              </w:rPr>
              <w:t>Processing progress state</w:t>
            </w:r>
          </w:p>
        </w:tc>
        <w:tc>
          <w:tcPr>
            <w:tcW w:type="dxa" w:w="33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7DDE0"/>
              <w:left w:val="single" w:sz="4" w:color="D7DDE0"/>
              <w:bottom w:val="single" w:sz="4" w:color="D7DDE0"/>
              <w:right w:val="single" w:sz="4" w:color="D7DDE0"/>
            </w:tcBorders>
          </w:tcPr>
          <w:p>
            <w:r>
              <w:rPr>
                <w:rFonts w:ascii="Calibri" w:hAnsi="Calibri"/>
                <w:color w:val="1F2937"/>
                <w:sz w:val="19"/>
              </w:rPr>
              <w:t>Local media processing creates trace data and candidate screenshots.</w:t>
            </w:r>
          </w:p>
        </w:tc>
      </w:tr>
      <w:tr>
        <w:tc>
          <w:tcPr>
            <w:tcW w:type="dxa" w:w="3360"/>
            <w:vAlign w:val="center"/>
            <w:shd w:fill="F3F4F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7DDE0"/>
              <w:left w:val="single" w:sz="4" w:color="D7DDE0"/>
              <w:bottom w:val="single" w:sz="4" w:color="D7DDE0"/>
              <w:right w:val="single" w:sz="4" w:color="D7DDE0"/>
            </w:tcBorders>
          </w:tcPr>
          <w:p>
            <w:r>
              <w:rPr>
                <w:rFonts w:ascii="Calibri" w:hAnsi="Calibri"/>
                <w:b/>
                <w:color w:val="1F2937"/>
                <w:sz w:val="19"/>
              </w:rPr>
              <w:t>Review</w:t>
            </w:r>
          </w:p>
        </w:tc>
        <w:tc>
          <w:tcPr>
            <w:tcW w:type="dxa" w:w="33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7DDE0"/>
              <w:left w:val="single" w:sz="4" w:color="D7DDE0"/>
              <w:bottom w:val="single" w:sz="4" w:color="D7DDE0"/>
              <w:right w:val="single" w:sz="4" w:color="D7DDE0"/>
            </w:tcBorders>
          </w:tcPr>
          <w:p>
            <w:r>
              <w:rPr>
                <w:rFonts w:ascii="Calibri" w:hAnsi="Calibri"/>
                <w:color w:val="1F2937"/>
                <w:sz w:val="19"/>
              </w:rPr>
              <w:t>Frame reviewer</w:t>
            </w:r>
          </w:p>
        </w:tc>
        <w:tc>
          <w:tcPr>
            <w:tcW w:type="dxa" w:w="33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7DDE0"/>
              <w:left w:val="single" w:sz="4" w:color="D7DDE0"/>
              <w:bottom w:val="single" w:sz="4" w:color="D7DDE0"/>
              <w:right w:val="single" w:sz="4" w:color="D7DDE0"/>
            </w:tcBorders>
          </w:tcPr>
          <w:p>
            <w:r>
              <w:rPr>
                <w:rFonts w:ascii="Calibri" w:hAnsi="Calibri"/>
                <w:color w:val="1F2937"/>
                <w:sz w:val="19"/>
              </w:rPr>
              <w:t>The reviewer rejects overlays and captures better screenshots when needed.</w:t>
            </w:r>
          </w:p>
        </w:tc>
      </w:tr>
      <w:tr>
        <w:tc>
          <w:tcPr>
            <w:tcW w:type="dxa" w:w="3360"/>
            <w:vAlign w:val="center"/>
            <w:shd w:fill="F3F4F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7DDE0"/>
              <w:left w:val="single" w:sz="4" w:color="D7DDE0"/>
              <w:bottom w:val="single" w:sz="4" w:color="D7DDE0"/>
              <w:right w:val="single" w:sz="4" w:color="D7DDE0"/>
            </w:tcBorders>
          </w:tcPr>
          <w:p>
            <w:r>
              <w:rPr>
                <w:rFonts w:ascii="Calibri" w:hAnsi="Calibri"/>
                <w:b/>
                <w:color w:val="1F2937"/>
                <w:sz w:val="19"/>
              </w:rPr>
              <w:t>Create Guide</w:t>
            </w:r>
          </w:p>
        </w:tc>
        <w:tc>
          <w:tcPr>
            <w:tcW w:type="dxa" w:w="33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7DDE0"/>
              <w:left w:val="single" w:sz="4" w:color="D7DDE0"/>
              <w:bottom w:val="single" w:sz="4" w:color="D7DDE0"/>
              <w:right w:val="single" w:sz="4" w:color="D7DDE0"/>
            </w:tcBorders>
          </w:tcPr>
          <w:p>
            <w:r>
              <w:rPr>
                <w:rFonts w:ascii="Calibri" w:hAnsi="Calibri"/>
                <w:color w:val="1F2937"/>
                <w:sz w:val="19"/>
              </w:rPr>
              <w:t>AI creation progress</w:t>
            </w:r>
          </w:p>
        </w:tc>
        <w:tc>
          <w:tcPr>
            <w:tcW w:type="dxa" w:w="33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7DDE0"/>
              <w:left w:val="single" w:sz="4" w:color="D7DDE0"/>
              <w:bottom w:val="single" w:sz="4" w:color="D7DDE0"/>
              <w:right w:val="single" w:sz="4" w:color="D7DDE0"/>
            </w:tcBorders>
          </w:tcPr>
          <w:p>
            <w:r>
              <w:rPr>
                <w:rFonts w:ascii="Calibri" w:hAnsi="Calibri"/>
                <w:color w:val="1F2937"/>
                <w:sz w:val="19"/>
              </w:rPr>
              <w:t>Compact reviewed context is sent through the authenticated proxy.</w:t>
            </w:r>
          </w:p>
        </w:tc>
      </w:tr>
      <w:tr>
        <w:tc>
          <w:tcPr>
            <w:tcW w:type="dxa" w:w="3360"/>
            <w:vAlign w:val="center"/>
            <w:shd w:fill="F3F4F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7DDE0"/>
              <w:left w:val="single" w:sz="4" w:color="D7DDE0"/>
              <w:bottom w:val="single" w:sz="4" w:color="D7DDE0"/>
              <w:right w:val="single" w:sz="4" w:color="D7DDE0"/>
            </w:tcBorders>
          </w:tcPr>
          <w:p>
            <w:r>
              <w:rPr>
                <w:rFonts w:ascii="Calibri" w:hAnsi="Calibri"/>
                <w:b/>
                <w:color w:val="1F2937"/>
                <w:sz w:val="19"/>
              </w:rPr>
              <w:t>Download</w:t>
            </w:r>
          </w:p>
        </w:tc>
        <w:tc>
          <w:tcPr>
            <w:tcW w:type="dxa" w:w="33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7DDE0"/>
              <w:left w:val="single" w:sz="4" w:color="D7DDE0"/>
              <w:bottom w:val="single" w:sz="4" w:color="D7DDE0"/>
              <w:right w:val="single" w:sz="4" w:color="D7DDE0"/>
            </w:tcBorders>
          </w:tcPr>
          <w:p>
            <w:r>
              <w:rPr>
                <w:rFonts w:ascii="Calibri" w:hAnsi="Calibri"/>
                <w:color w:val="1F2937"/>
                <w:sz w:val="19"/>
              </w:rPr>
              <w:t>Download DOCX</w:t>
            </w:r>
          </w:p>
        </w:tc>
        <w:tc>
          <w:tcPr>
            <w:tcW w:type="dxa" w:w="33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7DDE0"/>
              <w:left w:val="single" w:sz="4" w:color="D7DDE0"/>
              <w:bottom w:val="single" w:sz="4" w:color="D7DDE0"/>
              <w:right w:val="single" w:sz="4" w:color="D7DDE0"/>
            </w:tcBorders>
          </w:tcPr>
          <w:p>
            <w:r>
              <w:rPr>
                <w:rFonts w:ascii="Calibri" w:hAnsi="Calibri"/>
                <w:color w:val="1F2937"/>
                <w:sz w:val="19"/>
              </w:rPr>
              <w:t>The result is a Word guide ready for human review.</w:t>
            </w:r>
          </w:p>
        </w:tc>
      </w:tr>
      <w:tr>
        <w:tc>
          <w:tcPr>
            <w:tcW w:type="dxa" w:w="3360"/>
            <w:vAlign w:val="center"/>
            <w:shd w:fill="F3F4F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7DDE0"/>
              <w:left w:val="single" w:sz="4" w:color="D7DDE0"/>
              <w:bottom w:val="single" w:sz="4" w:color="D7DDE0"/>
              <w:right w:val="single" w:sz="4" w:color="D7DDE0"/>
            </w:tcBorders>
          </w:tcPr>
          <w:p>
            <w:r>
              <w:rPr>
                <w:rFonts w:ascii="Calibri" w:hAnsi="Calibri"/>
                <w:b/>
                <w:color w:val="1F2937"/>
                <w:sz w:val="19"/>
              </w:rPr>
              <w:t>AI Spend</w:t>
            </w:r>
          </w:p>
        </w:tc>
        <w:tc>
          <w:tcPr>
            <w:tcW w:type="dxa" w:w="33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7DDE0"/>
              <w:left w:val="single" w:sz="4" w:color="D7DDE0"/>
              <w:bottom w:val="single" w:sz="4" w:color="D7DDE0"/>
              <w:right w:val="single" w:sz="4" w:color="D7DDE0"/>
            </w:tcBorders>
          </w:tcPr>
          <w:p>
            <w:r>
              <w:rPr>
                <w:rFonts w:ascii="Calibri" w:hAnsi="Calibri"/>
                <w:color w:val="1F2937"/>
                <w:sz w:val="19"/>
              </w:rPr>
              <w:t>AI Spend page</w:t>
            </w:r>
          </w:p>
        </w:tc>
        <w:tc>
          <w:tcPr>
            <w:tcW w:type="dxa" w:w="33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7DDE0"/>
              <w:left w:val="single" w:sz="4" w:color="D7DDE0"/>
              <w:bottom w:val="single" w:sz="4" w:color="D7DDE0"/>
              <w:right w:val="single" w:sz="4" w:color="D7DDE0"/>
            </w:tcBorders>
          </w:tcPr>
          <w:p>
            <w:r>
              <w:rPr>
                <w:rFonts w:ascii="Calibri" w:hAnsi="Calibri"/>
                <w:color w:val="1F2937"/>
                <w:sz w:val="19"/>
              </w:rPr>
              <w:t>Leadership can see documents, tokens, pages, costs, and user attribution.</w:t>
            </w:r>
          </w:p>
        </w:tc>
      </w:tr>
      <w:tr>
        <w:tc>
          <w:tcPr>
            <w:tcW w:type="dxa" w:w="3360"/>
            <w:vAlign w:val="center"/>
            <w:shd w:fill="F3F4F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7DDE0"/>
              <w:left w:val="single" w:sz="4" w:color="D7DDE0"/>
              <w:bottom w:val="single" w:sz="4" w:color="D7DDE0"/>
              <w:right w:val="single" w:sz="4" w:color="D7DDE0"/>
            </w:tcBorders>
          </w:tcPr>
          <w:p>
            <w:r>
              <w:rPr>
                <w:rFonts w:ascii="Calibri" w:hAnsi="Calibri"/>
                <w:b/>
                <w:color w:val="1F2937"/>
                <w:sz w:val="19"/>
              </w:rPr>
              <w:t>Close</w:t>
            </w:r>
          </w:p>
        </w:tc>
        <w:tc>
          <w:tcPr>
            <w:tcW w:type="dxa" w:w="33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7DDE0"/>
              <w:left w:val="single" w:sz="4" w:color="D7DDE0"/>
              <w:bottom w:val="single" w:sz="4" w:color="D7DDE0"/>
              <w:right w:val="single" w:sz="4" w:color="D7DDE0"/>
            </w:tcBorders>
          </w:tcPr>
          <w:p>
            <w:r>
              <w:rPr>
                <w:rFonts w:ascii="Calibri" w:hAnsi="Calibri"/>
                <w:color w:val="1F2937"/>
                <w:sz w:val="19"/>
              </w:rPr>
              <w:t>Validation summary</w:t>
            </w:r>
          </w:p>
        </w:tc>
        <w:tc>
          <w:tcPr>
            <w:tcW w:type="dxa" w:w="33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7DDE0"/>
              <w:left w:val="single" w:sz="4" w:color="D7DDE0"/>
              <w:bottom w:val="single" w:sz="4" w:color="D7DDE0"/>
              <w:right w:val="single" w:sz="4" w:color="D7DDE0"/>
            </w:tcBorders>
          </w:tcPr>
          <w:p>
            <w:r>
              <w:rPr>
                <w:rFonts w:ascii="Calibri" w:hAnsi="Calibri"/>
                <w:color w:val="1F2937"/>
                <w:sz w:val="19"/>
              </w:rPr>
              <w:t>The next step is representative internal testing with BAs and trainers.</w:t>
            </w:r>
          </w:p>
        </w:tc>
      </w:tr>
    </w:tbl>
    <w:p/>
    <w:p>
      <w:pPr>
        <w:pStyle w:val="Heading1"/>
      </w:pPr>
      <w:r>
        <w:t>Close Message</w:t>
      </w:r>
    </w:p>
    <w:p>
      <w:pPr>
        <w:pStyle w:val="ListBullet"/>
      </w:pPr>
      <w:r>
        <w:t>KCXDocumentor is ready for internal hands-on validation.</w:t>
      </w:r>
    </w:p>
    <w:p>
      <w:pPr>
        <w:pStyle w:val="ListBullet"/>
      </w:pPr>
      <w:r>
        <w:t>The review should focus on output quality, screenshot relevance, reviewer workflow, cost per finished page, and readiness for a broader rollout.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Calibri" w:hAnsi="Calibri"/>
        <w:color w:val="6B7280"/>
        <w:sz w:val="17"/>
      </w:rPr>
      <w:t>keycentrix | KCXDocumentor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B7280"/>
        <w:sz w:val="17"/>
      </w:rPr>
      <w:t>KCXDocumentor - Demo Script and Storyboard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1C75B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1F293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C75BC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KCXDocumentor - Demo Script and Storyboard</dc:title>
  <dc:subject>Executive walkthrough script for the internal documentation workflow</dc:subject>
  <dc:creator>keycentrix</dc:creator>
  <cp:keywords/>
  <dc:description>Built with the DamienDev document recipe pattern.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