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057400" cy="353370"/>
            <wp:docPr id="1" name="Picture 1"/>
            <wp:cNvGraphicFramePr>
              <a:graphicFrameLocks noChangeAspect="1"/>
            </wp:cNvGraphicFramePr>
            <a:graphic>
              <a:graphicData uri="http://schemas.openxmlformats.org/drawingml/2006/picture">
                <pic:pic>
                  <pic:nvPicPr>
                    <pic:cNvPr id="0" name="keycentrix-template-logo.png"/>
                    <pic:cNvPicPr/>
                  </pic:nvPicPr>
                  <pic:blipFill>
                    <a:blip r:embed="rId11"/>
                    <a:stretch>
                      <a:fillRect/>
                    </a:stretch>
                  </pic:blipFill>
                  <pic:spPr>
                    <a:xfrm>
                      <a:off x="0" y="0"/>
                      <a:ext cx="2057400" cy="353370"/>
                    </a:xfrm>
                    <a:prstGeom prst="rect"/>
                  </pic:spPr>
                </pic:pic>
              </a:graphicData>
            </a:graphic>
          </wp:inline>
        </w:drawing>
      </w:r>
    </w:p>
    <w:p>
      <w:pPr>
        <w:spacing w:before="520"/>
      </w:pPr>
      <w:r>
        <w:rPr>
          <w:rFonts w:ascii="Calibri" w:hAnsi="Calibri"/>
          <w:b/>
          <w:color w:val="1C75BC"/>
          <w:sz w:val="48"/>
        </w:rPr>
        <w:t>KCXDocumentor - Sample Generated User Guide - Blink Rx</w:t>
      </w:r>
    </w:p>
    <w:p>
      <w:r>
        <w:rPr>
          <w:rFonts w:ascii="Calibri" w:hAnsi="Calibri"/>
          <w:color w:val="6B7280"/>
          <w:sz w:val="24"/>
        </w:rPr>
        <w:t>Example generated guide packaged for executive review</w:t>
      </w:r>
    </w:p>
    <w:tbl>
      <w:tblPr>
        <w:tblStyle w:val="TableGrid"/>
        <w:tblW w:type="auto" w:w="0"/>
        <w:jc w:val="center"/>
        <w:tblLook w:firstColumn="1" w:firstRow="1" w:lastColumn="0" w:lastRow="0" w:noHBand="0" w:noVBand="1" w:val="04A0"/>
      </w:tblPr>
      <w:tblGrid>
        <w:gridCol w:w="10080"/>
      </w:tblGrid>
      <w:tr>
        <w:tc>
          <w:tcPr>
            <w:tcW w:type="dxa" w:w="10080"/>
            <w:shd w:fill="EAF3FB"/>
            <w:tcMar>
              <w:top w:w="120" w:type="dxa"/>
              <w:start w:w="160" w:type="dxa"/>
              <w:bottom w:w="120" w:type="dxa"/>
              <w:end w:w="160" w:type="dxa"/>
            </w:tcMar>
            <w:tcBorders>
              <w:top w:val="single" w:sz="6" w:color="8CC63F"/>
              <w:left w:val="single" w:sz="6" w:color="8CC63F"/>
              <w:bottom w:val="single" w:sz="6" w:color="8CC63F"/>
              <w:right w:val="single" w:sz="6" w:color="8CC63F"/>
            </w:tcBorders>
          </w:tcPr>
          <w:p>
            <w:r>
              <w:rPr>
                <w:rFonts w:ascii="Calibri" w:hAnsi="Calibri"/>
                <w:b/>
                <w:color w:val="1C75BC"/>
                <w:sz w:val="22"/>
              </w:rPr>
              <w:t>Recipe alignment</w:t>
            </w:r>
          </w:p>
          <w:p>
            <w:r>
              <w:rPr>
                <w:rFonts w:ascii="Calibri" w:hAnsi="Calibri"/>
                <w:color w:val="1F2937"/>
                <w:sz w:val="20"/>
              </w:rPr>
              <w:t>Built as a keycentrix internal artifact using the DamienDev document recipe structure: control metadata, version history, purpose, scope, audience, governance, process detail, and appendices.</w:t>
            </w:r>
          </w:p>
        </w:tc>
      </w:tr>
    </w:tbl>
    <w:p/>
    <w:tbl>
      <w:tblPr>
        <w:tblStyle w:val="TableGrid"/>
        <w:tblW w:type="auto" w:w="0"/>
        <w:jc w:val="center"/>
        <w:tblLook w:firstColumn="1" w:firstRow="1" w:lastColumn="0" w:lastRow="0" w:noHBand="0" w:noVBand="1" w:val="04A0"/>
      </w:tblPr>
      <w:tblGrid>
        <w:gridCol w:w="5040"/>
        <w:gridCol w:w="5040"/>
      </w:tblGrid>
      <w:tr>
        <w:tc>
          <w:tcPr>
            <w:tcW w:type="dxa" w:w="2880"/>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Metadata Field</w:t>
            </w:r>
          </w:p>
        </w:tc>
        <w:tc>
          <w:tcPr>
            <w:tcW w:type="dxa" w:w="6912"/>
            <w:shd w:fill="1C75BC"/>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b/>
                <w:color w:val="FFFFFF"/>
              </w:rPr>
              <w:t>Document Value</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Document ID</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KCXDOC-SAMPLE-001</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Version</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1.0</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Effective Date</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2026-06-05</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Status</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Internal showcase sample</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Owner</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keycentrix Product and Training</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Audience</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Executive Team, Product, Training, Implementation, and Documentation Reviewers</w:t>
            </w:r>
          </w:p>
        </w:tc>
      </w:tr>
      <w:tr>
        <w:tc>
          <w:tcPr>
            <w:tcW w:type="dxa" w:w="2880"/>
            <w:vAlign w:val="center"/>
            <w:shd w:fill="F3F4F6"/>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b/>
                <w:color w:val="1F2937"/>
                <w:sz w:val="19"/>
              </w:rPr>
              <w:t>Build Standard</w:t>
            </w:r>
          </w:p>
        </w:tc>
        <w:tc>
          <w:tcPr>
            <w:tcW w:type="dxa" w:w="6912"/>
            <w:vAlign w:val="center"/>
            <w:shd w:fill="FFFFFF"/>
            <w:tcMar>
              <w:top w:w="80" w:type="dxa"/>
              <w:start w:w="120" w:type="dxa"/>
              <w:bottom w:w="80" w:type="dxa"/>
              <w:end w:w="120" w:type="dxa"/>
            </w:tcMar>
            <w:tcBorders>
              <w:top w:val="single" w:sz="4" w:color="D7DDE0"/>
              <w:left w:val="single" w:sz="4" w:color="D7DDE0"/>
              <w:bottom w:val="single" w:sz="4" w:color="D7DDE0"/>
              <w:right w:val="single" w:sz="4" w:color="D7DDE0"/>
            </w:tcBorders>
          </w:tcPr>
          <w:p>
            <w:r>
              <w:rPr>
                <w:rFonts w:ascii="Calibri" w:hAnsi="Calibri"/>
                <w:color w:val="1F2937"/>
                <w:sz w:val="19"/>
              </w:rPr>
              <w:t>DamienDev document recipe</w:t>
            </w:r>
          </w:p>
        </w:tc>
      </w:tr>
    </w:tbl>
    <w:p/>
    <w:p>
      <w:r>
        <w:br w:type="page"/>
      </w:r>
    </w:p>
    <w:p>
      <w:pPr>
        <w:pStyle w:val="Heading1"/>
      </w:pPr>
      <w:r>
        <w:t>Package Notes</w:t>
      </w:r>
    </w:p>
    <w:p>
      <w:pPr>
        <w:pStyle w:val="ListBullet"/>
      </w:pPr>
      <w:r>
        <w:t>The following pages are the generated guide output used to demonstrate KCXDocumentor capability.</w:t>
      </w:r>
    </w:p>
    <w:p>
      <w:pPr>
        <w:pStyle w:val="ListBullet"/>
      </w:pPr>
      <w:r>
        <w:t>This front matter was added for the executive collateral package.</w:t>
      </w:r>
    </w:p>
    <w:p>
      <w:pPr>
        <w:pStyle w:val="ListBullet"/>
      </w:pPr>
      <w:r>
        <w:t>The generated guide content remains available for review behind this package section.</w:t>
      </w:r>
    </w:p>
    <w:p>
      <w:r>
        <w:br w:type="page"/>
      </w:r>
    </w:p>
    <w:p>
      <w:pPr>
        <w:spacing w:before="480"/>
        <w:jc w:val="left"/>
      </w:pPr>
      <w:r>
        <w:drawing>
          <wp:inline xmlns:a="http://schemas.openxmlformats.org/drawingml/2006/main" xmlns:pic="http://schemas.openxmlformats.org/drawingml/2006/picture">
            <wp:extent cx="2377440" cy="408339"/>
            <wp:docPr id="1" name="Picture 1"/>
            <wp:cNvGraphicFramePr>
              <a:graphicFrameLocks noChangeAspect="1"/>
            </wp:cNvGraphicFramePr>
            <a:graphic>
              <a:graphicData uri="http://schemas.openxmlformats.org/drawingml/2006/picture">
                <pic:pic>
                  <pic:nvPicPr>
                    <pic:cNvPr id="0" name="keycentrix-template-logo.png"/>
                    <pic:cNvPicPr/>
                  </pic:nvPicPr>
                  <pic:blipFill>
                    <a:blip r:embed="rId11"/>
                    <a:stretch>
                      <a:fillRect/>
                    </a:stretch>
                  </pic:blipFill>
                  <pic:spPr>
                    <a:xfrm>
                      <a:off x="0" y="0"/>
                      <a:ext cx="2377440" cy="408339"/>
                    </a:xfrm>
                    <a:prstGeom prst="rect"/>
                  </pic:spPr>
                </pic:pic>
              </a:graphicData>
            </a:graphic>
          </wp:inline>
        </w:drawing>
      </w:r>
    </w:p>
    <w:p>
      <w:pPr>
        <w:spacing w:before="360"/>
      </w:pPr>
      <w:r>
        <w:rPr>
          <w:rFonts w:ascii="Calibri" w:hAnsi="Calibri"/>
          <w:b/>
          <w:color w:val="1F2937"/>
          <w:sz w:val="48"/>
        </w:rPr>
        <w:t>Blink RX Integration: Workflow Guide for New Leaf Users</w:t>
      </w:r>
    </w:p>
    <w:p>
      <w:r>
        <w:rPr>
          <w:rFonts w:ascii="Calibri" w:hAnsi="Calibri"/>
          <w:color w:val="1F2937"/>
          <w:sz w:val="24"/>
        </w:rPr>
        <w:t>DRAFT — Pending Human Review</w:t>
      </w:r>
    </w:p>
    <w:p>
      <w:r>
        <w:rPr>
          <w:rFonts w:ascii="Calibri" w:hAnsi="Calibri"/>
          <w:b/>
          <w:color w:val="1F2937"/>
          <w:sz w:val="22"/>
        </w:rPr>
        <w:t>keycentrix - Prototype</w:t>
      </w:r>
    </w:p>
    <w:p>
      <w:r>
        <w:rPr>
          <w:rFonts w:ascii="Calibri" w:hAnsi="Calibri"/>
          <w:color w:val="1F2937"/>
          <w:sz w:val="21"/>
        </w:rPr>
        <w:t>This guide explains how the Blink RX interface works with New Leaf and walks you through the key request types you will encounter: transfer in, claim, dispense, and transfer back. It also covers how to use the Blink Mock Tool to generate and manage test orders during setup and validation.</w:t>
      </w:r>
    </w:p>
    <w:p>
      <w:pPr>
        <w:pStyle w:val="Heading2"/>
      </w:pPr>
      <w:r>
        <w:t>Document Control Metadata</w:t>
      </w:r>
    </w:p>
    <w:tbl>
      <w:tblPr>
        <w:tblStyle w:val="TableGrid"/>
        <w:tblW w:type="auto" w:w="0"/>
        <w:tblLayout w:type="fixed"/>
        <w:tblLook w:firstColumn="1" w:firstRow="1" w:lastColumn="0" w:lastRow="0" w:noHBand="0" w:noVBand="1" w:val="04A0"/>
      </w:tblPr>
      <w:tblGrid>
        <w:gridCol w:w="5040"/>
        <w:gridCol w:w="5040"/>
      </w:tblGrid>
      <w:tr>
        <w:tc>
          <w:tcPr>
            <w:tcW w:type="dxa" w:w="3024"/>
          </w:tcPr>
          <w:p>
            <w:r>
              <w:rPr>
                <w:rFonts w:ascii="Calibri" w:hAnsi="Calibri"/>
                <w:b/>
                <w:color w:val="1F2937"/>
                <w:sz w:val="19"/>
              </w:rPr>
              <w:t>Metadata Field</w:t>
            </w:r>
          </w:p>
        </w:tc>
        <w:tc>
          <w:tcPr>
            <w:tcW w:type="dxa" w:w="6696"/>
          </w:tcPr>
          <w:p>
            <w:r>
              <w:rPr>
                <w:rFonts w:ascii="Calibri" w:hAnsi="Calibri"/>
                <w:b/>
                <w:color w:val="1F2937"/>
                <w:sz w:val="19"/>
              </w:rPr>
              <w:t>Document Value</w:t>
            </w:r>
          </w:p>
        </w:tc>
      </w:tr>
      <w:tr>
        <w:tc>
          <w:tcPr>
            <w:tcW w:type="dxa" w:w="3024"/>
          </w:tcPr>
          <w:p>
            <w:r>
              <w:rPr>
                <w:rFonts w:ascii="Calibri" w:hAnsi="Calibri"/>
                <w:color w:val="1F2937"/>
                <w:sz w:val="19"/>
              </w:rPr>
              <w:t>Owner</w:t>
            </w:r>
          </w:p>
        </w:tc>
        <w:tc>
          <w:tcPr>
            <w:tcW w:type="dxa" w:w="6696"/>
          </w:tcPr>
          <w:p>
            <w:r>
              <w:rPr>
                <w:rFonts w:ascii="Calibri" w:hAnsi="Calibri"/>
                <w:color w:val="1F2937"/>
                <w:sz w:val="19"/>
              </w:rPr>
              <w:t>KCXDocumentor</w:t>
            </w:r>
          </w:p>
        </w:tc>
      </w:tr>
      <w:tr>
        <w:tc>
          <w:tcPr>
            <w:tcW w:type="dxa" w:w="3024"/>
          </w:tcPr>
          <w:p>
            <w:r>
              <w:rPr>
                <w:rFonts w:ascii="Calibri" w:hAnsi="Calibri"/>
                <w:color w:val="1F2937"/>
                <w:sz w:val="19"/>
              </w:rPr>
              <w:t>Effective Date</w:t>
            </w:r>
          </w:p>
        </w:tc>
        <w:tc>
          <w:tcPr>
            <w:tcW w:type="dxa" w:w="6696"/>
          </w:tcPr>
          <w:p>
            <w:r>
              <w:rPr>
                <w:rFonts w:ascii="Calibri" w:hAnsi="Calibri"/>
                <w:color w:val="1F2937"/>
                <w:sz w:val="19"/>
              </w:rPr>
              <w:t>2026-06-04</w:t>
            </w:r>
          </w:p>
        </w:tc>
      </w:tr>
      <w:tr>
        <w:tc>
          <w:tcPr>
            <w:tcW w:type="dxa" w:w="3024"/>
          </w:tcPr>
          <w:p>
            <w:r>
              <w:rPr>
                <w:rFonts w:ascii="Calibri" w:hAnsi="Calibri"/>
                <w:color w:val="1F2937"/>
                <w:sz w:val="19"/>
              </w:rPr>
              <w:t>Status</w:t>
            </w:r>
          </w:p>
        </w:tc>
        <w:tc>
          <w:tcPr>
            <w:tcW w:type="dxa" w:w="6696"/>
          </w:tcPr>
          <w:p>
            <w:r>
              <w:rPr>
                <w:rFonts w:ascii="Calibri" w:hAnsi="Calibri"/>
                <w:color w:val="1F2937"/>
                <w:sz w:val="19"/>
              </w:rPr>
              <w:t>Prototype</w:t>
            </w:r>
          </w:p>
        </w:tc>
      </w:tr>
      <w:tr>
        <w:tc>
          <w:tcPr>
            <w:tcW w:type="dxa" w:w="3024"/>
          </w:tcPr>
          <w:p>
            <w:r>
              <w:rPr>
                <w:rFonts w:ascii="Calibri" w:hAnsi="Calibri"/>
                <w:color w:val="1F2937"/>
                <w:sz w:val="19"/>
              </w:rPr>
              <w:t>Version</w:t>
            </w:r>
          </w:p>
        </w:tc>
        <w:tc>
          <w:tcPr>
            <w:tcW w:type="dxa" w:w="6696"/>
          </w:tcPr>
          <w:p>
            <w:r>
              <w:rPr>
                <w:rFonts w:ascii="Calibri" w:hAnsi="Calibri"/>
                <w:color w:val="1F2937"/>
                <w:sz w:val="19"/>
              </w:rPr>
              <w:t>DRAFT — Pending Human Review</w:t>
            </w:r>
          </w:p>
        </w:tc>
      </w:tr>
    </w:tbl>
    <w:p>
      <w:pPr>
        <w:pStyle w:val="Heading1"/>
      </w:pPr>
      <w:r>
        <w:t>Purpose</w:t>
      </w:r>
    </w:p>
    <w:p>
      <w:commentRangeStart w:id="0"/>
      <w:r>
        <w:rPr>
          <w:rFonts w:ascii="Calibri" w:hAnsi="Calibri"/>
          <w:b w:val="0"/>
          <w:i w:val="0"/>
        </w:rPr>
        <w:t>This guide explains how the Blink RX interface works with New Leaf and walks you through the key request types you will encounter: transfer in, claim, dispense, and transfer back. It also covers how to use the Blink Mock Tool to generate and manage test orders during setup and validation.</w:t>
      </w:r>
      <w:commentRangeEnd w:id="0"/>
      <w:r>
        <w:rPr>
          <w:rStyle w:val="CommentReference"/>
        </w:rPr>
        <w:commentReference w:id="0"/>
      </w:r>
    </w:p>
    <w:p>
      <w:pPr>
        <w:pStyle w:val="Heading1"/>
      </w:pPr>
      <w:r>
        <w:t>Intended Audience</w:t>
      </w:r>
    </w:p>
    <w:p>
      <w:pPr>
        <w:pStyle w:val="ListBullet"/>
      </w:pPr>
      <w:r>
        <w:rPr>
          <w:rFonts w:ascii="Calibri" w:hAnsi="Calibri"/>
          <w:b w:val="0"/>
          <w:i w:val="0"/>
        </w:rPr>
        <w:t>Application users</w:t>
      </w:r>
    </w:p>
    <w:p>
      <w:pPr>
        <w:pStyle w:val="Heading1"/>
      </w:pPr>
      <w:r>
        <w:t>Prerequisites</w:t>
      </w:r>
    </w:p>
    <w:p>
      <w:pPr>
        <w:pStyle w:val="ListBullet"/>
      </w:pPr>
      <w:r>
        <w:rPr>
          <w:rFonts w:ascii="Calibri" w:hAnsi="Calibri"/>
          <w:b w:val="0"/>
          <w:i w:val="0"/>
        </w:rPr>
        <w:t>Access to New Leaf with pharmacy profile configuration permissions.</w:t>
      </w:r>
    </w:p>
    <w:p>
      <w:pPr>
        <w:pStyle w:val="ListBullet"/>
      </w:pPr>
      <w:r>
        <w:rPr>
          <w:rFonts w:ascii="Calibri" w:hAnsi="Calibri"/>
          <w:b w:val="0"/>
          <w:i w:val="0"/>
        </w:rPr>
        <w:t>Blink RX enabled for your pharmacy via the setup SQL script (see Blink technical documentation on Confluence).</w:t>
      </w:r>
    </w:p>
    <w:p>
      <w:pPr>
        <w:pStyle w:val="ListBullet"/>
      </w:pPr>
      <w:r>
        <w:rPr>
          <w:rFonts w:ascii="Calibri" w:hAnsi="Calibri"/>
          <w:b w:val="0"/>
          <w:i w:val="0"/>
        </w:rPr>
        <w:t>Blink Mock Tool installed in your environment (see Blink Mock Tool Installation documentation).</w:t>
      </w:r>
    </w:p>
    <w:p>
      <w:pPr>
        <w:pStyle w:val="ListBullet"/>
      </w:pPr>
      <w:r>
        <w:rPr>
          <w:rFonts w:ascii="Calibri" w:hAnsi="Calibri"/>
          <w:b w:val="0"/>
          <w:i w:val="0"/>
        </w:rPr>
        <w:t>A Blink customer type created in the pharmacy profile.</w:t>
      </w:r>
    </w:p>
    <w:p>
      <w:pPr>
        <w:pStyle w:val="ListBullet"/>
      </w:pPr>
      <w:r>
        <w:rPr>
          <w:rFonts w:ascii="Calibri" w:hAnsi="Calibri"/>
          <w:b w:val="0"/>
          <w:i w:val="0"/>
        </w:rPr>
        <w:t>An AR (accounts receivable) account assigned for Blink in the pharmacy profile.</w:t>
      </w:r>
    </w:p>
    <w:p>
      <w:pPr>
        <w:pStyle w:val="ListBullet"/>
      </w:pPr>
      <w:r>
        <w:rPr>
          <w:rFonts w:ascii="Calibri" w:hAnsi="Calibri"/>
          <w:b w:val="0"/>
          <w:i w:val="0"/>
        </w:rPr>
        <w:t>A plan template selected in the Blink pharmacy profile settings.</w:t>
      </w:r>
    </w:p>
    <w:p>
      <w:pPr>
        <w:pStyle w:val="ListBullet"/>
      </w:pPr>
      <w:r>
        <w:rPr>
          <w:rFonts w:ascii="Calibri" w:hAnsi="Calibri"/>
          <w:b w:val="0"/>
          <w:i w:val="0"/>
        </w:rPr>
        <w:t>At least one customer profile configured with the Blink customer type and the required insurance plans.</w:t>
      </w:r>
    </w:p>
    <w:p>
      <w:pPr>
        <w:pStyle w:val="Heading1"/>
      </w:pPr>
      <w:r>
        <w:t>Workflow Overview</w:t>
      </w:r>
    </w:p>
    <w:p>
      <w:pPr>
        <w:pStyle w:val="ListBullet"/>
      </w:pPr>
      <w:r>
        <w:rPr>
          <w:rFonts w:ascii="Calibri" w:hAnsi="Calibri"/>
          <w:b w:val="0"/>
          <w:i w:val="0"/>
        </w:rPr>
        <w:t>Follow the workflow sections in order and confirm the expected screen or request status before moving to the next step.</w:t>
      </w:r>
    </w:p>
    <w:p>
      <w:pPr>
        <w:pStyle w:val="Heading1"/>
      </w:pPr>
      <w:r>
        <w:t>Step-by-Step Procedures</w:t>
      </w:r>
    </w:p>
    <w:p>
      <w:pPr>
        <w:pStyle w:val="Heading2"/>
      </w:pPr>
      <w:r>
        <w:t>Blink RX Overview and How It Works with New Leaf</w:t>
      </w:r>
    </w:p>
    <w:p>
      <w:pPr>
        <w:pStyle w:val="Heading2"/>
      </w:pPr>
      <w:r>
        <w:t>1. Understand the Blink RX workflow</w:t>
      </w:r>
    </w:p>
    <w:p>
      <w:pPr>
        <w:spacing w:after="60"/>
      </w:pPr>
      <w:r>
        <w:rPr>
          <w:rFonts w:ascii="Calibri" w:hAnsi="Calibri"/>
          <w:b/>
        </w:rPr>
        <w:t xml:space="preserve">Action: </w:t>
      </w:r>
      <w:r>
        <w:rPr>
          <w:rFonts w:ascii="Calibri" w:hAnsi="Calibri"/>
          <w:b w:val="0"/>
          <w:i w:val="0"/>
        </w:rPr>
        <w:t>Blink RX is an interface integrated with New Leaf. Blink receives prescriptions from patients and sends them to New Leaf. New Leaf then handles claim adjudication, dispensing, and the rest of the pharmacy workflow. Blink communicates with New Leaf through an API that polls at a configured interval (for example, every 10 seconds).</w:t>
      </w:r>
    </w:p>
    <w:p>
      <w:pPr>
        <w:jc w:val="center"/>
      </w:pPr>
      <w:r>
        <w:drawing>
          <wp:inline xmlns:a="http://schemas.openxmlformats.org/drawingml/2006/main" xmlns:pic="http://schemas.openxmlformats.org/drawingml/2006/picture">
            <wp:extent cx="5577840" cy="3145449"/>
            <wp:docPr id="2" name="Picture 2"/>
            <wp:cNvGraphicFramePr>
              <a:graphicFrameLocks noChangeAspect="1"/>
            </wp:cNvGraphicFramePr>
            <a:graphic>
              <a:graphicData uri="http://schemas.openxmlformats.org/drawingml/2006/picture">
                <pic:pic>
                  <pic:nvPicPr>
                    <pic:cNvPr id="0" name="frame-0002.png"/>
                    <pic:cNvPicPr/>
                  </pic:nvPicPr>
                  <pic:blipFill>
                    <a:blip r:embed="rId13"/>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00:01:30.000</w:t>
      </w:r>
    </w:p>
    <w:p>
      <w:pPr>
        <w:pStyle w:val="Heading2"/>
      </w:pPr>
      <w:r>
        <w:t>2. Identify the Blink request types</w:t>
      </w:r>
    </w:p>
    <w:p>
      <w:pPr>
        <w:spacing w:after="60"/>
      </w:pPr>
      <w:r>
        <w:rPr>
          <w:rFonts w:ascii="Calibri" w:hAnsi="Calibri"/>
          <w:b/>
        </w:rPr>
        <w:t xml:space="preserve">Action: </w:t>
      </w:r>
      <w:r>
        <w:rPr>
          <w:rFonts w:ascii="Calibri" w:hAnsi="Calibri"/>
          <w:b w:val="0"/>
          <w:i w:val="0"/>
        </w:rPr>
        <w:t>The Blink integration uses five request types that you will work with in New Leaf:</w:t>
        <w:br/>
        <w:br/>
        <w:t xml:space="preserve">- </w:t>
      </w:r>
      <w:r>
        <w:rPr>
          <w:rFonts w:ascii="Calibri" w:hAnsi="Calibri"/>
          <w:b/>
          <w:i w:val="0"/>
        </w:rPr>
        <w:t>Transfer In</w:t>
      </w:r>
      <w:r>
        <w:rPr>
          <w:rFonts w:ascii="Calibri" w:hAnsi="Calibri"/>
          <w:b w:val="0"/>
          <w:i w:val="0"/>
        </w:rPr>
        <w:t xml:space="preserve"> — Brings a prescription order into New Leaf Data Entry.</w:t>
        <w:br/>
        <w:t xml:space="preserve">- </w:t>
      </w:r>
      <w:r>
        <w:rPr>
          <w:rFonts w:ascii="Calibri" w:hAnsi="Calibri"/>
          <w:b/>
          <w:i w:val="0"/>
        </w:rPr>
        <w:t>Claim</w:t>
      </w:r>
      <w:r>
        <w:rPr>
          <w:rFonts w:ascii="Calibri" w:hAnsi="Calibri"/>
          <w:b w:val="0"/>
          <w:i w:val="0"/>
        </w:rPr>
        <w:t xml:space="preserve"> — Triggers adjudication for the order.</w:t>
        <w:br/>
        <w:t xml:space="preserve">- </w:t>
      </w:r>
      <w:r>
        <w:rPr>
          <w:rFonts w:ascii="Calibri" w:hAnsi="Calibri"/>
          <w:b/>
          <w:i w:val="0"/>
        </w:rPr>
        <w:t>Dispense</w:t>
      </w:r>
      <w:r>
        <w:rPr>
          <w:rFonts w:ascii="Calibri" w:hAnsi="Calibri"/>
          <w:b w:val="0"/>
          <w:i w:val="0"/>
        </w:rPr>
        <w:t xml:space="preserve"> — Signals that the claim is complete and the order is ready to process.</w:t>
        <w:br/>
        <w:t xml:space="preserve">- </w:t>
      </w:r>
      <w:r>
        <w:rPr>
          <w:rFonts w:ascii="Calibri" w:hAnsi="Calibri"/>
          <w:b/>
          <w:i w:val="0"/>
        </w:rPr>
        <w:t>Transfer Back</w:t>
      </w:r>
      <w:r>
        <w:rPr>
          <w:rFonts w:ascii="Calibri" w:hAnsi="Calibri"/>
          <w:b w:val="0"/>
          <w:i w:val="0"/>
        </w:rPr>
        <w:t xml:space="preserve"> — Returns an order to Blink (can occur at three stages; see the Transfer Back section).</w:t>
        <w:br/>
        <w:t xml:space="preserve">- </w:t>
      </w:r>
      <w:r>
        <w:rPr>
          <w:rFonts w:ascii="Calibri" w:hAnsi="Calibri"/>
          <w:b/>
          <w:i w:val="0"/>
        </w:rPr>
        <w:t>Refill</w:t>
      </w:r>
      <w:r>
        <w:rPr>
          <w:rFonts w:ascii="Calibri" w:hAnsi="Calibri"/>
          <w:b w:val="0"/>
          <w:i w:val="0"/>
        </w:rPr>
        <w:t xml:space="preserve"> — Initiates a refill request.</w:t>
      </w:r>
    </w:p>
    <w:p>
      <w:pPr>
        <w:jc w:val="center"/>
      </w:pPr>
      <w:r>
        <w:drawing>
          <wp:inline xmlns:a="http://schemas.openxmlformats.org/drawingml/2006/main" xmlns:pic="http://schemas.openxmlformats.org/drawingml/2006/picture">
            <wp:extent cx="5577840" cy="3145449"/>
            <wp:docPr id="3" name="Picture 3"/>
            <wp:cNvGraphicFramePr>
              <a:graphicFrameLocks noChangeAspect="1"/>
            </wp:cNvGraphicFramePr>
            <a:graphic>
              <a:graphicData uri="http://schemas.openxmlformats.org/drawingml/2006/picture">
                <pic:pic>
                  <pic:nvPicPr>
                    <pic:cNvPr id="0" name="frame-0006.png"/>
                    <pic:cNvPicPr/>
                  </pic:nvPicPr>
                  <pic:blipFill>
                    <a:blip r:embed="rId14"/>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00:03:30.000</w:t>
      </w:r>
    </w:p>
    <w:p>
      <w:pPr>
        <w:pStyle w:val="Heading2"/>
      </w:pPr>
      <w:r>
        <w:t>Configure the Blink RX Pharmacy Profile</w:t>
      </w:r>
    </w:p>
    <w:p>
      <w:pPr>
        <w:pStyle w:val="Heading2"/>
      </w:pPr>
      <w:r>
        <w:t>3. Open the pharmacy profile interfaces screen</w:t>
      </w:r>
    </w:p>
    <w:p>
      <w:pPr>
        <w:spacing w:after="60"/>
      </w:pPr>
      <w:r>
        <w:rPr>
          <w:rFonts w:ascii="Calibri" w:hAnsi="Calibri"/>
          <w:b/>
        </w:rPr>
        <w:t xml:space="preserve">Action: </w:t>
      </w:r>
      <w:r>
        <w:rPr>
          <w:rFonts w:ascii="Calibri" w:hAnsi="Calibri"/>
          <w:b w:val="0"/>
          <w:i w:val="0"/>
        </w:rPr>
        <w:t xml:space="preserve">In New Leaf, open the pharmacy profile using the keyboard shortcut </w:t>
      </w:r>
      <w:r>
        <w:rPr>
          <w:rFonts w:ascii="Calibri" w:hAnsi="Calibri"/>
          <w:b/>
          <w:i w:val="0"/>
        </w:rPr>
        <w:t>F8F6</w:t>
      </w:r>
      <w:r>
        <w:rPr>
          <w:rFonts w:ascii="Calibri" w:hAnsi="Calibri"/>
          <w:b w:val="0"/>
          <w:i w:val="0"/>
        </w:rPr>
        <w:t xml:space="preserve">, then navigate to the </w:t>
      </w:r>
      <w:r>
        <w:rPr>
          <w:rFonts w:ascii="Calibri" w:hAnsi="Calibri"/>
          <w:b/>
          <w:i w:val="0"/>
        </w:rPr>
        <w:t>Interfaces</w:t>
      </w:r>
      <w:r>
        <w:rPr>
          <w:rFonts w:ascii="Calibri" w:hAnsi="Calibri"/>
          <w:b w:val="0"/>
          <w:i w:val="0"/>
        </w:rPr>
        <w:t xml:space="preserve"> tab. Locate the </w:t>
      </w:r>
      <w:r>
        <w:rPr>
          <w:rFonts w:ascii="Calibri" w:hAnsi="Calibri"/>
          <w:b/>
          <w:i w:val="0"/>
        </w:rPr>
        <w:t>Blink RX</w:t>
      </w:r>
      <w:r>
        <w:rPr>
          <w:rFonts w:ascii="Calibri" w:hAnsi="Calibri"/>
          <w:b w:val="0"/>
          <w:i w:val="0"/>
        </w:rPr>
        <w:t xml:space="preserve"> section.</w:t>
      </w:r>
    </w:p>
    <w:p>
      <w:pPr>
        <w:jc w:val="center"/>
      </w:pPr>
      <w:r>
        <w:drawing>
          <wp:inline xmlns:a="http://schemas.openxmlformats.org/drawingml/2006/main" xmlns:pic="http://schemas.openxmlformats.org/drawingml/2006/picture">
            <wp:extent cx="5577840" cy="3145449"/>
            <wp:docPr id="4" name="Picture 4"/>
            <wp:cNvGraphicFramePr>
              <a:graphicFrameLocks noChangeAspect="1"/>
            </wp:cNvGraphicFramePr>
            <a:graphic>
              <a:graphicData uri="http://schemas.openxmlformats.org/drawingml/2006/picture">
                <pic:pic>
                  <pic:nvPicPr>
                    <pic:cNvPr id="0" name="frame-0009.png"/>
                    <pic:cNvPicPr/>
                  </pic:nvPicPr>
                  <pic:blipFill>
                    <a:blip r:embed="rId15"/>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00:05:00.000</w:t>
      </w:r>
    </w:p>
    <w:p>
      <w:pPr>
        <w:pStyle w:val="Heading2"/>
      </w:pPr>
      <w:r>
        <w:t>4. Enable Blink RX using the setup script</w:t>
      </w:r>
    </w:p>
    <w:p>
      <w:pPr>
        <w:spacing w:after="60"/>
      </w:pPr>
      <w:r>
        <w:rPr>
          <w:rFonts w:ascii="Calibri" w:hAnsi="Calibri"/>
          <w:b/>
        </w:rPr>
        <w:t xml:space="preserve">Action: </w:t>
      </w:r>
      <w:r>
        <w:rPr>
          <w:rFonts w:ascii="Calibri" w:hAnsi="Calibri"/>
          <w:b w:val="0"/>
          <w:i w:val="0"/>
        </w:rPr>
        <w:t xml:space="preserve">Enabling Blink RX requires running a SQL script. Locate the script in the Blink technical documentation on Confluence by searching for </w:t>
      </w:r>
      <w:r>
        <w:rPr>
          <w:rFonts w:ascii="Calibri" w:hAnsi="Calibri"/>
          <w:b/>
          <w:i w:val="0"/>
        </w:rPr>
        <w:t>Blink</w:t>
      </w:r>
      <w:r>
        <w:rPr>
          <w:rFonts w:ascii="Calibri" w:hAnsi="Calibri"/>
          <w:b w:val="0"/>
          <w:i w:val="0"/>
        </w:rPr>
        <w:t>.</w:t>
      </w:r>
    </w:p>
    <w:p>
      <w:pPr>
        <w:jc w:val="center"/>
      </w:pPr>
      <w:r>
        <w:drawing>
          <wp:inline xmlns:a="http://schemas.openxmlformats.org/drawingml/2006/main" xmlns:pic="http://schemas.openxmlformats.org/drawingml/2006/picture">
            <wp:extent cx="5577840" cy="3145449"/>
            <wp:docPr id="5" name="Picture 5"/>
            <wp:cNvGraphicFramePr>
              <a:graphicFrameLocks noChangeAspect="1"/>
            </wp:cNvGraphicFramePr>
            <a:graphic>
              <a:graphicData uri="http://schemas.openxmlformats.org/drawingml/2006/picture">
                <pic:pic>
                  <pic:nvPicPr>
                    <pic:cNvPr id="0" name="frame-0013.png"/>
                    <pic:cNvPicPr/>
                  </pic:nvPicPr>
                  <pic:blipFill>
                    <a:blip r:embed="rId16"/>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00:07:00.000</w:t>
      </w:r>
    </w:p>
    <w:p>
      <w:pPr>
        <w:pStyle w:val="Heading2"/>
      </w:pPr>
      <w:r>
        <w:t>5. Configure the API polling interval and credentials</w:t>
      </w:r>
    </w:p>
    <w:p>
      <w:pPr>
        <w:spacing w:after="60"/>
      </w:pPr>
      <w:r>
        <w:rPr>
          <w:rFonts w:ascii="Calibri" w:hAnsi="Calibri"/>
          <w:b/>
        </w:rPr>
        <w:t xml:space="preserve">Action: </w:t>
      </w:r>
      <w:r>
        <w:rPr>
          <w:rFonts w:ascii="Calibri" w:hAnsi="Calibri"/>
          <w:b w:val="0"/>
          <w:i w:val="0"/>
        </w:rPr>
        <w:t xml:space="preserve">In the Blink RX section of the pharmacy profile, set the </w:t>
      </w:r>
      <w:r>
        <w:rPr>
          <w:rFonts w:ascii="Calibri" w:hAnsi="Calibri"/>
          <w:b/>
          <w:i w:val="0"/>
        </w:rPr>
        <w:t>polling frequency</w:t>
      </w:r>
      <w:r>
        <w:rPr>
          <w:rFonts w:ascii="Calibri" w:hAnsi="Calibri"/>
          <w:b w:val="0"/>
          <w:i w:val="0"/>
        </w:rPr>
        <w:t xml:space="preserve"> (the interval at which New Leaf checks for new Blink requests). A value between 10 and 30 seconds is typical; 10 seconds is recommended for active testing. Enter the </w:t>
      </w:r>
      <w:r>
        <w:rPr>
          <w:rFonts w:ascii="Calibri" w:hAnsi="Calibri"/>
          <w:b/>
          <w:i w:val="0"/>
        </w:rPr>
        <w:t>API base URL</w:t>
      </w:r>
      <w:r>
        <w:rPr>
          <w:rFonts w:ascii="Calibri" w:hAnsi="Calibri"/>
          <w:b w:val="0"/>
          <w:i w:val="0"/>
        </w:rPr>
        <w:t xml:space="preserve"> and the Blink </w:t>
      </w:r>
      <w:r>
        <w:rPr>
          <w:rFonts w:ascii="Calibri" w:hAnsi="Calibri"/>
          <w:b/>
          <w:i w:val="0"/>
        </w:rPr>
        <w:t>account credentials</w:t>
      </w:r>
      <w:r>
        <w:rPr>
          <w:rFonts w:ascii="Calibri" w:hAnsi="Calibri"/>
          <w:b w:val="0"/>
          <w:i w:val="0"/>
        </w:rPr>
        <w:t xml:space="preserve"> in the designated fields.</w:t>
      </w:r>
    </w:p>
    <w:p>
      <w:pPr>
        <w:jc w:val="center"/>
      </w:pPr>
      <w:r>
        <w:drawing>
          <wp:inline xmlns:a="http://schemas.openxmlformats.org/drawingml/2006/main" xmlns:pic="http://schemas.openxmlformats.org/drawingml/2006/picture">
            <wp:extent cx="5577840" cy="3145449"/>
            <wp:docPr id="6" name="Picture 6"/>
            <wp:cNvGraphicFramePr>
              <a:graphicFrameLocks noChangeAspect="1"/>
            </wp:cNvGraphicFramePr>
            <a:graphic>
              <a:graphicData uri="http://schemas.openxmlformats.org/drawingml/2006/picture">
                <pic:pic>
                  <pic:nvPicPr>
                    <pic:cNvPr id="0" name="frame-0016.png"/>
                    <pic:cNvPicPr/>
                  </pic:nvPicPr>
                  <pic:blipFill>
                    <a:blip r:embed="rId17"/>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00:08:30.000</w:t>
      </w:r>
    </w:p>
    <w:p>
      <w:pPr>
        <w:pStyle w:val="Heading2"/>
      </w:pPr>
      <w:r>
        <w:t>6. Assign the Blink customer type and AR account</w:t>
      </w:r>
    </w:p>
    <w:p>
      <w:pPr>
        <w:spacing w:after="60"/>
      </w:pPr>
      <w:r>
        <w:rPr>
          <w:rFonts w:ascii="Calibri" w:hAnsi="Calibri"/>
          <w:b/>
        </w:rPr>
        <w:t xml:space="preserve">Action: </w:t>
      </w:r>
      <w:r>
        <w:rPr>
          <w:rFonts w:ascii="Calibri" w:hAnsi="Calibri"/>
          <w:b w:val="0"/>
          <w:i w:val="0"/>
        </w:rPr>
        <w:t xml:space="preserve">In the Blink settings, set the </w:t>
      </w:r>
      <w:r>
        <w:rPr>
          <w:rFonts w:ascii="Calibri" w:hAnsi="Calibri"/>
          <w:b/>
          <w:i w:val="0"/>
        </w:rPr>
        <w:t>Customer Type</w:t>
      </w:r>
      <w:r>
        <w:rPr>
          <w:rFonts w:ascii="Calibri" w:hAnsi="Calibri"/>
          <w:b w:val="0"/>
          <w:i w:val="0"/>
        </w:rPr>
        <w:t xml:space="preserve"> field to the Blink-specific customer type (for example, </w:t>
      </w:r>
      <w:r>
        <w:rPr>
          <w:rFonts w:ascii="Calibri" w:hAnsi="Calibri"/>
          <w:b/>
          <w:i w:val="0"/>
        </w:rPr>
        <w:t>Blink</w:t>
      </w:r>
      <w:r>
        <w:rPr>
          <w:rFonts w:ascii="Calibri" w:hAnsi="Calibri"/>
          <w:b w:val="0"/>
          <w:i w:val="0"/>
        </w:rPr>
        <w:t xml:space="preserve">). Use the AR account search to select the correct </w:t>
      </w:r>
      <w:r>
        <w:rPr>
          <w:rFonts w:ascii="Calibri" w:hAnsi="Calibri"/>
          <w:b/>
          <w:i w:val="0"/>
        </w:rPr>
        <w:t>AR account</w:t>
      </w:r>
      <w:r>
        <w:rPr>
          <w:rFonts w:ascii="Calibri" w:hAnsi="Calibri"/>
          <w:b w:val="0"/>
          <w:i w:val="0"/>
        </w:rPr>
        <w:t xml:space="preserve"> for Blink. You can create or manage customer types from the </w:t>
      </w:r>
      <w:r>
        <w:rPr>
          <w:rFonts w:ascii="Calibri" w:hAnsi="Calibri"/>
          <w:b/>
          <w:i w:val="0"/>
        </w:rPr>
        <w:t>Customer</w:t>
      </w:r>
      <w:r>
        <w:rPr>
          <w:rFonts w:ascii="Calibri" w:hAnsi="Calibri"/>
          <w:b w:val="0"/>
          <w:i w:val="0"/>
        </w:rPr>
        <w:t xml:space="preserve"> tab in the pharmacy profile.</w:t>
      </w:r>
    </w:p>
    <w:p>
      <w:pPr>
        <w:jc w:val="center"/>
      </w:pPr>
      <w:r>
        <w:drawing>
          <wp:inline xmlns:a="http://schemas.openxmlformats.org/drawingml/2006/main" xmlns:pic="http://schemas.openxmlformats.org/drawingml/2006/picture">
            <wp:extent cx="5577840" cy="3145449"/>
            <wp:docPr id="7" name="Picture 7"/>
            <wp:cNvGraphicFramePr>
              <a:graphicFrameLocks noChangeAspect="1"/>
            </wp:cNvGraphicFramePr>
            <a:graphic>
              <a:graphicData uri="http://schemas.openxmlformats.org/drawingml/2006/picture">
                <pic:pic>
                  <pic:nvPicPr>
                    <pic:cNvPr id="0" name="frame-0019.png"/>
                    <pic:cNvPicPr/>
                  </pic:nvPicPr>
                  <pic:blipFill>
                    <a:blip r:embed="rId18"/>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00:10:00.000</w:t>
      </w:r>
    </w:p>
    <w:p>
      <w:pPr>
        <w:pStyle w:val="Heading2"/>
      </w:pPr>
      <w:r>
        <w:t>7. Select a plan template</w:t>
      </w:r>
    </w:p>
    <w:p>
      <w:pPr>
        <w:spacing w:after="60"/>
      </w:pPr>
      <w:r>
        <w:rPr>
          <w:rFonts w:ascii="Calibri" w:hAnsi="Calibri"/>
          <w:b/>
        </w:rPr>
        <w:t xml:space="preserve">Action: </w:t>
      </w:r>
      <w:r>
        <w:rPr>
          <w:rFonts w:ascii="Calibri" w:hAnsi="Calibri"/>
          <w:b w:val="0"/>
          <w:i w:val="0"/>
        </w:rPr>
        <w:t xml:space="preserve">In the Blink settings, select the </w:t>
      </w:r>
      <w:r>
        <w:rPr>
          <w:rFonts w:ascii="Calibri" w:hAnsi="Calibri"/>
          <w:b/>
          <w:i w:val="0"/>
        </w:rPr>
        <w:t>plan template</w:t>
      </w:r>
      <w:r>
        <w:rPr>
          <w:rFonts w:ascii="Calibri" w:hAnsi="Calibri"/>
          <w:b w:val="0"/>
          <w:i w:val="0"/>
        </w:rPr>
        <w:t xml:space="preserve"> to use as the base plan type for Blink orders. This plan will be applied when Blink orders are processed through New Leaf.</w:t>
      </w:r>
    </w:p>
    <w:p>
      <w:pPr>
        <w:jc w:val="center"/>
      </w:pPr>
      <w:r>
        <w:drawing>
          <wp:inline xmlns:a="http://schemas.openxmlformats.org/drawingml/2006/main" xmlns:pic="http://schemas.openxmlformats.org/drawingml/2006/picture">
            <wp:extent cx="5577840" cy="3145449"/>
            <wp:docPr id="8" name="Picture 8"/>
            <wp:cNvGraphicFramePr>
              <a:graphicFrameLocks noChangeAspect="1"/>
            </wp:cNvGraphicFramePr>
            <a:graphic>
              <a:graphicData uri="http://schemas.openxmlformats.org/drawingml/2006/picture">
                <pic:pic>
                  <pic:nvPicPr>
                    <pic:cNvPr id="0" name="frame-0022.png"/>
                    <pic:cNvPicPr/>
                  </pic:nvPicPr>
                  <pic:blipFill>
                    <a:blip r:embed="rId19"/>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00:11:30.000</w:t>
      </w:r>
    </w:p>
    <w:p>
      <w:pPr>
        <w:pStyle w:val="Heading2"/>
      </w:pPr>
      <w:r>
        <w:t>Set Up and Use the Blink Mock Tool</w:t>
      </w:r>
    </w:p>
    <w:p>
      <w:pPr>
        <w:pStyle w:val="Heading2"/>
      </w:pPr>
      <w:r>
        <w:t>8. Locate the Mock Tool files</w:t>
      </w:r>
    </w:p>
    <w:p>
      <w:pPr>
        <w:spacing w:after="60"/>
      </w:pPr>
      <w:r>
        <w:rPr>
          <w:rFonts w:ascii="Calibri" w:hAnsi="Calibri"/>
          <w:b/>
        </w:rPr>
        <w:t xml:space="preserve">Action: </w:t>
      </w:r>
      <w:r>
        <w:rPr>
          <w:rFonts w:ascii="Calibri" w:hAnsi="Calibri"/>
          <w:b w:val="0"/>
          <w:i w:val="0"/>
        </w:rPr>
        <w:t>The Blink Mock Tool is installed on the C: drive. It contains two folders: one for the UI and one for the API. For day-to-day testing, you only need the UI folder.</w:t>
      </w:r>
    </w:p>
    <w:p>
      <w:pPr>
        <w:jc w:val="center"/>
      </w:pPr>
      <w:r>
        <w:drawing>
          <wp:inline xmlns:a="http://schemas.openxmlformats.org/drawingml/2006/main" xmlns:pic="http://schemas.openxmlformats.org/drawingml/2006/picture">
            <wp:extent cx="5577840" cy="3145449"/>
            <wp:docPr id="9" name="Picture 9"/>
            <wp:cNvGraphicFramePr>
              <a:graphicFrameLocks noChangeAspect="1"/>
            </wp:cNvGraphicFramePr>
            <a:graphic>
              <a:graphicData uri="http://schemas.openxmlformats.org/drawingml/2006/picture">
                <pic:pic>
                  <pic:nvPicPr>
                    <pic:cNvPr id="0" name="frame-0026.png"/>
                    <pic:cNvPicPr/>
                  </pic:nvPicPr>
                  <pic:blipFill>
                    <a:blip r:embed="rId20"/>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00:13:30.000</w:t>
      </w:r>
    </w:p>
    <w:p>
      <w:pPr>
        <w:pStyle w:val="Heading2"/>
      </w:pPr>
      <w:r>
        <w:t>9. Open the Mock Tool UI</w:t>
      </w:r>
    </w:p>
    <w:p>
      <w:pPr>
        <w:spacing w:after="60"/>
      </w:pPr>
      <w:r>
        <w:rPr>
          <w:rFonts w:ascii="Calibri" w:hAnsi="Calibri"/>
          <w:b/>
        </w:rPr>
        <w:t xml:space="preserve">Action: </w:t>
      </w:r>
      <w:r>
        <w:rPr>
          <w:rFonts w:ascii="Calibri" w:hAnsi="Calibri"/>
          <w:b w:val="0"/>
          <w:i w:val="0"/>
        </w:rPr>
        <w:t xml:space="preserve">In the Blink UI folder on the C: drive, open </w:t>
      </w:r>
      <w:r>
        <w:rPr>
          <w:rFonts w:ascii="Calibri" w:hAnsi="Calibri"/>
          <w:b/>
          <w:i w:val="0"/>
        </w:rPr>
        <w:t>BlinkMockUI.exe</w:t>
      </w:r>
      <w:r>
        <w:rPr>
          <w:rFonts w:ascii="Calibri" w:hAnsi="Calibri"/>
          <w:b w:val="0"/>
          <w:i w:val="0"/>
        </w:rPr>
        <w:t xml:space="preserve">. When the application opens, you will see a blank window with tabs or buttons for the available request types: </w:t>
      </w:r>
      <w:r>
        <w:rPr>
          <w:rFonts w:ascii="Calibri" w:hAnsi="Calibri"/>
          <w:b/>
          <w:i w:val="0"/>
        </w:rPr>
        <w:t>Transfer Back</w:t>
      </w:r>
      <w:r>
        <w:rPr>
          <w:rFonts w:ascii="Calibri" w:hAnsi="Calibri"/>
          <w:b w:val="0"/>
          <w:i w:val="0"/>
        </w:rPr>
        <w:t xml:space="preserve">, </w:t>
      </w:r>
      <w:r>
        <w:rPr>
          <w:rFonts w:ascii="Calibri" w:hAnsi="Calibri"/>
          <w:b/>
          <w:i w:val="0"/>
        </w:rPr>
        <w:t>Claim Request</w:t>
      </w:r>
      <w:r>
        <w:rPr>
          <w:rFonts w:ascii="Calibri" w:hAnsi="Calibri"/>
          <w:b w:val="0"/>
          <w:i w:val="0"/>
        </w:rPr>
        <w:t xml:space="preserve">, </w:t>
      </w:r>
      <w:r>
        <w:rPr>
          <w:rFonts w:ascii="Calibri" w:hAnsi="Calibri"/>
          <w:b/>
          <w:i w:val="0"/>
        </w:rPr>
        <w:t>Bill Request</w:t>
      </w:r>
      <w:r>
        <w:rPr>
          <w:rFonts w:ascii="Calibri" w:hAnsi="Calibri"/>
          <w:b w:val="0"/>
          <w:i w:val="0"/>
        </w:rPr>
        <w:t xml:space="preserve">, and </w:t>
      </w:r>
      <w:r>
        <w:rPr>
          <w:rFonts w:ascii="Calibri" w:hAnsi="Calibri"/>
          <w:b/>
          <w:i w:val="0"/>
        </w:rPr>
        <w:t>Dispense Request</w:t>
      </w:r>
      <w:r>
        <w:rPr>
          <w:rFonts w:ascii="Calibri" w:hAnsi="Calibri"/>
          <w:b w:val="0"/>
          <w:i w:val="0"/>
        </w:rPr>
        <w:t>.</w:t>
      </w:r>
    </w:p>
    <w:p>
      <w:pPr>
        <w:jc w:val="center"/>
      </w:pPr>
      <w:r>
        <w:drawing>
          <wp:inline xmlns:a="http://schemas.openxmlformats.org/drawingml/2006/main" xmlns:pic="http://schemas.openxmlformats.org/drawingml/2006/picture">
            <wp:extent cx="5577840" cy="3145449"/>
            <wp:docPr id="10" name="Picture 10"/>
            <wp:cNvGraphicFramePr>
              <a:graphicFrameLocks noChangeAspect="1"/>
            </wp:cNvGraphicFramePr>
            <a:graphic>
              <a:graphicData uri="http://schemas.openxmlformats.org/drawingml/2006/picture">
                <pic:pic>
                  <pic:nvPicPr>
                    <pic:cNvPr id="0" name="frame-0029.png"/>
                    <pic:cNvPicPr/>
                  </pic:nvPicPr>
                  <pic:blipFill>
                    <a:blip r:embed="rId21"/>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00:15:00.000</w:t>
      </w:r>
    </w:p>
    <w:p>
      <w:pPr>
        <w:pStyle w:val="Heading2"/>
      </w:pPr>
      <w:commentRangeStart w:id="1"/>
      <w:r>
        <w:t>10. Select request types before sending a transfer in request</w:t>
      </w:r>
      <w:commentRangeEnd w:id="1"/>
      <w:r>
        <w:rPr>
          <w:rStyle w:val="CommentReference"/>
        </w:rPr>
        <w:commentReference w:id="1"/>
      </w:r>
    </w:p>
    <w:p>
      <w:pPr>
        <w:spacing w:after="60"/>
      </w:pPr>
      <w:r>
        <w:rPr>
          <w:rFonts w:ascii="Calibri" w:hAnsi="Calibri"/>
          <w:b/>
        </w:rPr>
        <w:t xml:space="preserve">Action: </w:t>
      </w:r>
      <w:r>
        <w:rPr>
          <w:rFonts w:ascii="Calibri" w:hAnsi="Calibri"/>
          <w:b w:val="0"/>
          <w:i w:val="0"/>
        </w:rPr>
        <w:t>Before sending a Transfer In request, select all the required checkboxes in the Mock Tool. This ensures that the associated requests (Transfer Back, Claim, Refill, Dispense) are generated together with the Transfer In order. You can deselect individual request types if you want to generate only specific requests.</w:t>
      </w:r>
    </w:p>
    <w:p>
      <w:pPr>
        <w:jc w:val="center"/>
      </w:pPr>
      <w:r>
        <w:drawing>
          <wp:inline xmlns:a="http://schemas.openxmlformats.org/drawingml/2006/main" xmlns:pic="http://schemas.openxmlformats.org/drawingml/2006/picture">
            <wp:extent cx="5577840" cy="3145449"/>
            <wp:docPr id="11" name="Picture 11"/>
            <wp:cNvGraphicFramePr>
              <a:graphicFrameLocks noChangeAspect="1"/>
            </wp:cNvGraphicFramePr>
            <a:graphic>
              <a:graphicData uri="http://schemas.openxmlformats.org/drawingml/2006/picture">
                <pic:pic>
                  <pic:nvPicPr>
                    <pic:cNvPr id="0" name="frame-0032.png"/>
                    <pic:cNvPicPr/>
                  </pic:nvPicPr>
                  <pic:blipFill>
                    <a:blip r:embed="rId22"/>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00:16:30.000</w:t>
      </w:r>
    </w:p>
    <w:p>
      <w:pPr>
        <w:pStyle w:val="Heading2"/>
      </w:pPr>
      <w:r>
        <w:t>11. Set the number of requests to generate</w:t>
      </w:r>
    </w:p>
    <w:p>
      <w:pPr>
        <w:spacing w:after="60"/>
      </w:pPr>
      <w:r>
        <w:rPr>
          <w:rFonts w:ascii="Calibri" w:hAnsi="Calibri"/>
          <w:b/>
        </w:rPr>
        <w:t xml:space="preserve">Action: </w:t>
      </w:r>
      <w:r>
        <w:rPr>
          <w:rFonts w:ascii="Calibri" w:hAnsi="Calibri"/>
          <w:b w:val="0"/>
          <w:i w:val="0"/>
        </w:rPr>
        <w:t xml:space="preserve">Use the quantity field in the Mock Tool to specify how many orders to generate. For example, entering </w:t>
      </w:r>
      <w:r>
        <w:rPr>
          <w:rFonts w:ascii="Calibri" w:hAnsi="Calibri"/>
          <w:b/>
          <w:i w:val="0"/>
        </w:rPr>
        <w:t>1</w:t>
      </w:r>
      <w:r>
        <w:rPr>
          <w:rFonts w:ascii="Calibri" w:hAnsi="Calibri"/>
          <w:b w:val="0"/>
          <w:i w:val="0"/>
        </w:rPr>
        <w:t xml:space="preserve"> sends a single order to Data Entry; entering </w:t>
      </w:r>
      <w:r>
        <w:rPr>
          <w:rFonts w:ascii="Calibri" w:hAnsi="Calibri"/>
          <w:b/>
          <w:i w:val="0"/>
        </w:rPr>
        <w:t>5</w:t>
      </w:r>
      <w:r>
        <w:rPr>
          <w:rFonts w:ascii="Calibri" w:hAnsi="Calibri"/>
          <w:b w:val="0"/>
          <w:i w:val="0"/>
        </w:rPr>
        <w:t xml:space="preserve"> sends five orders.</w:t>
      </w:r>
    </w:p>
    <w:p>
      <w:pPr>
        <w:jc w:val="center"/>
      </w:pPr>
      <w:r>
        <w:drawing>
          <wp:inline xmlns:a="http://schemas.openxmlformats.org/drawingml/2006/main" xmlns:pic="http://schemas.openxmlformats.org/drawingml/2006/picture">
            <wp:extent cx="5577840" cy="3145449"/>
            <wp:docPr id="12" name="Picture 12"/>
            <wp:cNvGraphicFramePr>
              <a:graphicFrameLocks noChangeAspect="1"/>
            </wp:cNvGraphicFramePr>
            <a:graphic>
              <a:graphicData uri="http://schemas.openxmlformats.org/drawingml/2006/picture">
                <pic:pic>
                  <pic:nvPicPr>
                    <pic:cNvPr id="0" name="frame-0035.png"/>
                    <pic:cNvPicPr/>
                  </pic:nvPicPr>
                  <pic:blipFill>
                    <a:blip r:embed="rId23"/>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00:18:00.000</w:t>
      </w:r>
    </w:p>
    <w:p>
      <w:pPr>
        <w:pStyle w:val="Heading2"/>
      </w:pPr>
      <w:r>
        <w:t>12. Inspect and edit the request JSON files</w:t>
      </w:r>
    </w:p>
    <w:p>
      <w:pPr>
        <w:spacing w:after="60"/>
      </w:pPr>
      <w:r>
        <w:rPr>
          <w:rFonts w:ascii="Calibri" w:hAnsi="Calibri"/>
          <w:b/>
        </w:rPr>
        <w:t xml:space="preserve">Action: </w:t>
      </w:r>
      <w:r>
        <w:rPr>
          <w:rFonts w:ascii="Calibri" w:hAnsi="Calibri"/>
          <w:b w:val="0"/>
          <w:i w:val="0"/>
        </w:rPr>
        <w:t xml:space="preserve">The Mock Tool stores request data as JSON files in the </w:t>
      </w:r>
      <w:r>
        <w:rPr>
          <w:rFonts w:ascii="Calibri" w:hAnsi="Calibri"/>
          <w:b/>
          <w:i w:val="0"/>
        </w:rPr>
        <w:t>Blink Mock Data</w:t>
      </w:r>
      <w:r>
        <w:rPr>
          <w:rFonts w:ascii="Calibri" w:hAnsi="Calibri"/>
          <w:b w:val="0"/>
          <w:i w:val="0"/>
        </w:rPr>
        <w:t xml:space="preserve"> folder on the C: drive. To view or edit a request file, open it in Notepad++ and use the JSON Viewer plugin (available from the Notepad++ Plugins menu) to format the file for easier reading.</w:t>
        <w:br/>
        <w:br/>
        <w:t>The folder structure is:</w:t>
        <w:br/>
        <w:t xml:space="preserve">- </w:t>
      </w:r>
      <w:r>
        <w:rPr>
          <w:rFonts w:ascii="Calibri" w:hAnsi="Calibri"/>
          <w:b/>
          <w:i w:val="0"/>
        </w:rPr>
        <w:t>Blink Mock Data\requests.json</w:t>
      </w:r>
      <w:r>
        <w:rPr>
          <w:rFonts w:ascii="Calibri" w:hAnsi="Calibri"/>
          <w:b w:val="0"/>
          <w:i w:val="0"/>
        </w:rPr>
        <w:t xml:space="preserve"> — Transfer In and related requests.</w:t>
        <w:br/>
        <w:t xml:space="preserve">- </w:t>
      </w:r>
      <w:r>
        <w:rPr>
          <w:rFonts w:ascii="Calibri" w:hAnsi="Calibri"/>
          <w:b/>
          <w:i w:val="0"/>
        </w:rPr>
        <w:t>Blink Mock Data\data\claims\requests.json</w:t>
      </w:r>
      <w:r>
        <w:rPr>
          <w:rFonts w:ascii="Calibri" w:hAnsi="Calibri"/>
          <w:b w:val="0"/>
          <w:i w:val="0"/>
        </w:rPr>
        <w:t xml:space="preserve"> — Claim requests only.</w:t>
        <w:br/>
        <w:t xml:space="preserve">- </w:t>
      </w:r>
      <w:r>
        <w:rPr>
          <w:rFonts w:ascii="Calibri" w:hAnsi="Calibri"/>
          <w:b/>
          <w:i w:val="0"/>
        </w:rPr>
        <w:t>Blink Mock Data\data\custom data\plans.json</w:t>
      </w:r>
      <w:r>
        <w:rPr>
          <w:rFonts w:ascii="Calibri" w:hAnsi="Calibri"/>
          <w:b w:val="0"/>
          <w:i w:val="0"/>
        </w:rPr>
        <w:t xml:space="preserve"> — Plan details used by transfer and claim requests.</w:t>
      </w:r>
    </w:p>
    <w:p>
      <w:pPr>
        <w:jc w:val="center"/>
      </w:pPr>
      <w:r>
        <w:drawing>
          <wp:inline xmlns:a="http://schemas.openxmlformats.org/drawingml/2006/main" xmlns:pic="http://schemas.openxmlformats.org/drawingml/2006/picture">
            <wp:extent cx="5577840" cy="3145449"/>
            <wp:docPr id="13" name="Picture 13"/>
            <wp:cNvGraphicFramePr>
              <a:graphicFrameLocks noChangeAspect="1"/>
            </wp:cNvGraphicFramePr>
            <a:graphic>
              <a:graphicData uri="http://schemas.openxmlformats.org/drawingml/2006/picture">
                <pic:pic>
                  <pic:nvPicPr>
                    <pic:cNvPr id="0" name="frame-0039.png"/>
                    <pic:cNvPicPr/>
                  </pic:nvPicPr>
                  <pic:blipFill>
                    <a:blip r:embed="rId24"/>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00:20:00.000</w:t>
      </w:r>
    </w:p>
    <w:p>
      <w:pPr>
        <w:pStyle w:val="Heading2"/>
      </w:pPr>
      <w:r>
        <w:t>13. Control which requests are active using the isHidden field</w:t>
      </w:r>
    </w:p>
    <w:p>
      <w:pPr>
        <w:spacing w:after="60"/>
      </w:pPr>
      <w:r>
        <w:rPr>
          <w:rFonts w:ascii="Calibri" w:hAnsi="Calibri"/>
          <w:b/>
        </w:rPr>
        <w:t xml:space="preserve">Action: </w:t>
      </w:r>
      <w:r>
        <w:rPr>
          <w:rFonts w:ascii="Calibri" w:hAnsi="Calibri"/>
          <w:b w:val="0"/>
          <w:i w:val="0"/>
        </w:rPr>
        <w:t xml:space="preserve">Each request entry in the JSON file has an </w:t>
      </w:r>
      <w:r>
        <w:rPr>
          <w:rFonts w:ascii="Calibri" w:hAnsi="Calibri"/>
          <w:b/>
          <w:i w:val="0"/>
        </w:rPr>
        <w:t>isHidden</w:t>
      </w:r>
      <w:r>
        <w:rPr>
          <w:rFonts w:ascii="Calibri" w:hAnsi="Calibri"/>
          <w:b w:val="0"/>
          <w:i w:val="0"/>
        </w:rPr>
        <w:t xml:space="preserve"> field that controls whether the polling processor runs that request.</w:t>
        <w:br/>
        <w:br/>
        <w:t xml:space="preserve">- </w:t>
      </w:r>
      <w:r>
        <w:rPr>
          <w:rFonts w:ascii="Calibri" w:hAnsi="Calibri"/>
          <w:b/>
          <w:i w:val="0"/>
        </w:rPr>
        <w:t>isHidden: false</w:t>
      </w:r>
      <w:r>
        <w:rPr>
          <w:rFonts w:ascii="Calibri" w:hAnsi="Calibri"/>
          <w:b w:val="0"/>
          <w:i w:val="0"/>
        </w:rPr>
        <w:t xml:space="preserve"> — The request is active and will be sent on the next poll cycle.</w:t>
        <w:br/>
        <w:t xml:space="preserve">- </w:t>
      </w:r>
      <w:r>
        <w:rPr>
          <w:rFonts w:ascii="Calibri" w:hAnsi="Calibri"/>
          <w:b/>
          <w:i w:val="0"/>
        </w:rPr>
        <w:t>isHidden: true</w:t>
      </w:r>
      <w:r>
        <w:rPr>
          <w:rFonts w:ascii="Calibri" w:hAnsi="Calibri"/>
          <w:b w:val="0"/>
          <w:i w:val="0"/>
        </w:rPr>
        <w:t xml:space="preserve"> — The request is paused and will not be sent.</w:t>
        <w:br/>
        <w:br/>
        <w:t xml:space="preserve">To activate a request, set </w:t>
      </w:r>
      <w:r>
        <w:rPr>
          <w:rFonts w:ascii="Calibri" w:hAnsi="Calibri"/>
          <w:b/>
          <w:i w:val="0"/>
        </w:rPr>
        <w:t>isHidden</w:t>
      </w:r>
      <w:r>
        <w:rPr>
          <w:rFonts w:ascii="Calibri" w:hAnsi="Calibri"/>
          <w:b w:val="0"/>
          <w:i w:val="0"/>
        </w:rPr>
        <w:t xml:space="preserve"> to </w:t>
      </w:r>
      <w:r>
        <w:rPr>
          <w:rFonts w:ascii="Calibri" w:hAnsi="Calibri"/>
          <w:b/>
          <w:i w:val="0"/>
        </w:rPr>
        <w:t>false</w:t>
      </w:r>
      <w:r>
        <w:rPr>
          <w:rFonts w:ascii="Calibri" w:hAnsi="Calibri"/>
          <w:b w:val="0"/>
          <w:i w:val="0"/>
        </w:rPr>
        <w:t xml:space="preserve"> and save the file. To stop a request after it has run, set </w:t>
      </w:r>
      <w:r>
        <w:rPr>
          <w:rFonts w:ascii="Calibri" w:hAnsi="Calibri"/>
          <w:b/>
          <w:i w:val="0"/>
        </w:rPr>
        <w:t>isHidden</w:t>
      </w:r>
      <w:r>
        <w:rPr>
          <w:rFonts w:ascii="Calibri" w:hAnsi="Calibri"/>
          <w:b w:val="0"/>
          <w:i w:val="0"/>
        </w:rPr>
        <w:t xml:space="preserve"> back to </w:t>
      </w:r>
      <w:r>
        <w:rPr>
          <w:rFonts w:ascii="Calibri" w:hAnsi="Calibri"/>
          <w:b/>
          <w:i w:val="0"/>
        </w:rPr>
        <w:t>true</w:t>
      </w:r>
      <w:r>
        <w:rPr>
          <w:rFonts w:ascii="Calibri" w:hAnsi="Calibri"/>
          <w:b w:val="0"/>
          <w:i w:val="0"/>
        </w:rPr>
        <w:t xml:space="preserve"> and save the file immediately. If you do not stop the request promptly, it will continue to run on every poll cycle.</w:t>
      </w:r>
    </w:p>
    <w:p>
      <w:pPr>
        <w:jc w:val="center"/>
      </w:pPr>
      <w:r>
        <w:drawing>
          <wp:inline xmlns:a="http://schemas.openxmlformats.org/drawingml/2006/main" xmlns:pic="http://schemas.openxmlformats.org/drawingml/2006/picture">
            <wp:extent cx="5577840" cy="3145449"/>
            <wp:docPr id="14" name="Picture 14"/>
            <wp:cNvGraphicFramePr>
              <a:graphicFrameLocks noChangeAspect="1"/>
            </wp:cNvGraphicFramePr>
            <a:graphic>
              <a:graphicData uri="http://schemas.openxmlformats.org/drawingml/2006/picture">
                <pic:pic>
                  <pic:nvPicPr>
                    <pic:cNvPr id="0" name="frame-0042.png"/>
                    <pic:cNvPicPr/>
                  </pic:nvPicPr>
                  <pic:blipFill>
                    <a:blip r:embed="rId25"/>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00:21:30.000</w:t>
      </w:r>
    </w:p>
    <w:p>
      <w:pPr>
        <w:pStyle w:val="Heading2"/>
      </w:pPr>
      <w:r>
        <w:t>14. Delete test requests</w:t>
      </w:r>
    </w:p>
    <w:p>
      <w:pPr>
        <w:spacing w:after="60"/>
      </w:pPr>
      <w:r>
        <w:rPr>
          <w:rFonts w:ascii="Calibri" w:hAnsi="Calibri"/>
          <w:b/>
        </w:rPr>
        <w:t xml:space="preserve">Action: </w:t>
      </w:r>
      <w:r>
        <w:rPr>
          <w:rFonts w:ascii="Calibri" w:hAnsi="Calibri"/>
          <w:b w:val="0"/>
          <w:i w:val="0"/>
        </w:rPr>
        <w:t xml:space="preserve">Use the </w:t>
      </w:r>
      <w:r>
        <w:rPr>
          <w:rFonts w:ascii="Calibri" w:hAnsi="Calibri"/>
          <w:b/>
          <w:i w:val="0"/>
        </w:rPr>
        <w:t>Delete Request</w:t>
      </w:r>
      <w:r>
        <w:rPr>
          <w:rFonts w:ascii="Calibri" w:hAnsi="Calibri"/>
          <w:b w:val="0"/>
          <w:i w:val="0"/>
        </w:rPr>
        <w:t xml:space="preserve"> section in the Mock Tool to remove all requests or specific individual requests from the queue.</w:t>
      </w:r>
    </w:p>
    <w:p>
      <w:pPr>
        <w:jc w:val="center"/>
      </w:pPr>
      <w:r>
        <w:drawing>
          <wp:inline xmlns:a="http://schemas.openxmlformats.org/drawingml/2006/main" xmlns:pic="http://schemas.openxmlformats.org/drawingml/2006/picture">
            <wp:extent cx="5577840" cy="3145449"/>
            <wp:docPr id="15" name="Picture 15"/>
            <wp:cNvGraphicFramePr>
              <a:graphicFrameLocks noChangeAspect="1"/>
            </wp:cNvGraphicFramePr>
            <a:graphic>
              <a:graphicData uri="http://schemas.openxmlformats.org/drawingml/2006/picture">
                <pic:pic>
                  <pic:nvPicPr>
                    <pic:cNvPr id="0" name="frame-0045.png"/>
                    <pic:cNvPicPr/>
                  </pic:nvPicPr>
                  <pic:blipFill>
                    <a:blip r:embed="rId26"/>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00:23:00.000</w:t>
      </w:r>
    </w:p>
    <w:p>
      <w:pPr>
        <w:pStyle w:val="Heading2"/>
      </w:pPr>
      <w:r>
        <w:t>Send a Transfer In Request and Locate the Order in New Leaf</w:t>
      </w:r>
    </w:p>
    <w:p>
      <w:pPr>
        <w:pStyle w:val="Heading2"/>
      </w:pPr>
      <w:r>
        <w:t>15. Activate the Transfer In request</w:t>
      </w:r>
    </w:p>
    <w:p>
      <w:pPr>
        <w:spacing w:after="60"/>
      </w:pPr>
      <w:r>
        <w:rPr>
          <w:rFonts w:ascii="Calibri" w:hAnsi="Calibri"/>
          <w:b/>
        </w:rPr>
        <w:t xml:space="preserve">Action: </w:t>
      </w:r>
      <w:r>
        <w:rPr>
          <w:rFonts w:ascii="Calibri" w:hAnsi="Calibri"/>
          <w:b w:val="0"/>
          <w:i w:val="0"/>
        </w:rPr>
        <w:t xml:space="preserve">In the </w:t>
      </w:r>
      <w:r>
        <w:rPr>
          <w:rFonts w:ascii="Calibri" w:hAnsi="Calibri"/>
          <w:b/>
          <w:i w:val="0"/>
        </w:rPr>
        <w:t>requests.json</w:t>
      </w:r>
      <w:r>
        <w:rPr>
          <w:rFonts w:ascii="Calibri" w:hAnsi="Calibri"/>
          <w:b w:val="0"/>
          <w:i w:val="0"/>
        </w:rPr>
        <w:t xml:space="preserve"> file, locate the Transfer In entry (request type: </w:t>
      </w:r>
      <w:r>
        <w:rPr>
          <w:rFonts w:ascii="Calibri" w:hAnsi="Calibri"/>
          <w:b/>
          <w:i w:val="0"/>
        </w:rPr>
        <w:t>Transfer Prescription Only</w:t>
      </w:r>
      <w:r>
        <w:rPr>
          <w:rFonts w:ascii="Calibri" w:hAnsi="Calibri"/>
          <w:b w:val="0"/>
          <w:i w:val="0"/>
        </w:rPr>
        <w:t xml:space="preserve">). Set </w:t>
      </w:r>
      <w:r>
        <w:rPr>
          <w:rFonts w:ascii="Calibri" w:hAnsi="Calibri"/>
          <w:b/>
          <w:i w:val="0"/>
        </w:rPr>
        <w:t>isHidden</w:t>
      </w:r>
      <w:r>
        <w:rPr>
          <w:rFonts w:ascii="Calibri" w:hAnsi="Calibri"/>
          <w:b w:val="0"/>
          <w:i w:val="0"/>
        </w:rPr>
        <w:t xml:space="preserve"> to </w:t>
      </w:r>
      <w:r>
        <w:rPr>
          <w:rFonts w:ascii="Calibri" w:hAnsi="Calibri"/>
          <w:b/>
          <w:i w:val="0"/>
        </w:rPr>
        <w:t>false</w:t>
      </w:r>
      <w:r>
        <w:rPr>
          <w:rFonts w:ascii="Calibri" w:hAnsi="Calibri"/>
          <w:b w:val="0"/>
          <w:i w:val="0"/>
        </w:rPr>
        <w:t xml:space="preserve"> and save the file. The polling processor will pick up the request within the configured polling interval.</w:t>
      </w:r>
    </w:p>
    <w:p>
      <w:pPr>
        <w:jc w:val="center"/>
      </w:pPr>
      <w:r>
        <w:drawing>
          <wp:inline xmlns:a="http://schemas.openxmlformats.org/drawingml/2006/main" xmlns:pic="http://schemas.openxmlformats.org/drawingml/2006/picture">
            <wp:extent cx="5577840" cy="3145449"/>
            <wp:docPr id="16" name="Picture 16"/>
            <wp:cNvGraphicFramePr>
              <a:graphicFrameLocks noChangeAspect="1"/>
            </wp:cNvGraphicFramePr>
            <a:graphic>
              <a:graphicData uri="http://schemas.openxmlformats.org/drawingml/2006/picture">
                <pic:pic>
                  <pic:nvPicPr>
                    <pic:cNvPr id="0" name="frame-0048.png"/>
                    <pic:cNvPicPr/>
                  </pic:nvPicPr>
                  <pic:blipFill>
                    <a:blip r:embed="rId27"/>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00:24:30.000</w:t>
      </w:r>
    </w:p>
    <w:p>
      <w:pPr>
        <w:pStyle w:val="Heading2"/>
      </w:pPr>
      <w:r>
        <w:t>16. Verify the polling processor is running in System Logs</w:t>
      </w:r>
    </w:p>
    <w:p>
      <w:pPr>
        <w:spacing w:after="60"/>
      </w:pPr>
      <w:r>
        <w:rPr>
          <w:rFonts w:ascii="Calibri" w:hAnsi="Calibri"/>
          <w:b/>
        </w:rPr>
        <w:t xml:space="preserve">Action: </w:t>
      </w:r>
      <w:r>
        <w:rPr>
          <w:rFonts w:ascii="Calibri" w:hAnsi="Calibri"/>
          <w:b w:val="0"/>
          <w:i w:val="0"/>
        </w:rPr>
        <w:t xml:space="preserve">In New Leaf, open </w:t>
      </w:r>
      <w:r>
        <w:rPr>
          <w:rFonts w:ascii="Calibri" w:hAnsi="Calibri"/>
          <w:b/>
          <w:i w:val="0"/>
        </w:rPr>
        <w:t>System Logs</w:t>
      </w:r>
      <w:r>
        <w:rPr>
          <w:rFonts w:ascii="Calibri" w:hAnsi="Calibri"/>
          <w:b w:val="0"/>
          <w:i w:val="0"/>
        </w:rPr>
        <w:t xml:space="preserve"> and sort by log date descending. Look for log entries with the source </w:t>
      </w:r>
      <w:r>
        <w:rPr>
          <w:rFonts w:ascii="Calibri" w:hAnsi="Calibri"/>
          <w:b/>
          <w:i w:val="0"/>
        </w:rPr>
        <w:t>Blink Fulfillment Processor</w:t>
      </w:r>
      <w:r>
        <w:rPr>
          <w:rFonts w:ascii="Calibri" w:hAnsi="Calibri"/>
          <w:b w:val="0"/>
          <w:i w:val="0"/>
        </w:rPr>
        <w:t>. These entries confirm that the polling is active and running at the configured interval.</w:t>
      </w:r>
    </w:p>
    <w:p>
      <w:pPr>
        <w:jc w:val="center"/>
      </w:pPr>
      <w:r>
        <w:drawing>
          <wp:inline xmlns:a="http://schemas.openxmlformats.org/drawingml/2006/main" xmlns:pic="http://schemas.openxmlformats.org/drawingml/2006/picture">
            <wp:extent cx="5577840" cy="3145449"/>
            <wp:docPr id="17" name="Picture 17"/>
            <wp:cNvGraphicFramePr>
              <a:graphicFrameLocks noChangeAspect="1"/>
            </wp:cNvGraphicFramePr>
            <a:graphic>
              <a:graphicData uri="http://schemas.openxmlformats.org/drawingml/2006/picture">
                <pic:pic>
                  <pic:nvPicPr>
                    <pic:cNvPr id="0" name="frame-0052.png"/>
                    <pic:cNvPicPr/>
                  </pic:nvPicPr>
                  <pic:blipFill>
                    <a:blip r:embed="rId28"/>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00:26:30.000</w:t>
      </w:r>
    </w:p>
    <w:p>
      <w:pPr>
        <w:pStyle w:val="Heading2"/>
      </w:pPr>
      <w:r>
        <w:t>17. Locate the incoming order in Data Entry</w:t>
      </w:r>
    </w:p>
    <w:p>
      <w:pPr>
        <w:spacing w:after="60"/>
      </w:pPr>
      <w:r>
        <w:rPr>
          <w:rFonts w:ascii="Calibri" w:hAnsi="Calibri"/>
          <w:b/>
        </w:rPr>
        <w:t xml:space="preserve">Action: </w:t>
      </w:r>
      <w:r>
        <w:rPr>
          <w:rFonts w:ascii="Calibri" w:hAnsi="Calibri"/>
          <w:b w:val="0"/>
          <w:i w:val="0"/>
        </w:rPr>
        <w:t xml:space="preserve">In New Leaf, open </w:t>
      </w:r>
      <w:r>
        <w:rPr>
          <w:rFonts w:ascii="Calibri" w:hAnsi="Calibri"/>
          <w:b/>
          <w:i w:val="0"/>
        </w:rPr>
        <w:t>Data Entry</w:t>
      </w:r>
      <w:r>
        <w:rPr>
          <w:rFonts w:ascii="Calibri" w:hAnsi="Calibri"/>
          <w:b w:val="0"/>
          <w:i w:val="0"/>
        </w:rPr>
        <w:t xml:space="preserve"> using the keyboard shortcut </w:t>
      </w:r>
      <w:r>
        <w:rPr>
          <w:rFonts w:ascii="Calibri" w:hAnsi="Calibri"/>
          <w:b/>
          <w:i w:val="0"/>
        </w:rPr>
        <w:t>F11</w:t>
      </w:r>
      <w:r>
        <w:rPr>
          <w:rFonts w:ascii="Calibri" w:hAnsi="Calibri"/>
          <w:b w:val="0"/>
          <w:i w:val="0"/>
        </w:rPr>
        <w:t xml:space="preserve">. Refresh the list and sort by </w:t>
      </w:r>
      <w:r>
        <w:rPr>
          <w:rFonts w:ascii="Calibri" w:hAnsi="Calibri"/>
          <w:b/>
          <w:i w:val="0"/>
        </w:rPr>
        <w:t>Need By</w:t>
      </w:r>
      <w:r>
        <w:rPr>
          <w:rFonts w:ascii="Calibri" w:hAnsi="Calibri"/>
          <w:b w:val="0"/>
          <w:i w:val="0"/>
        </w:rPr>
        <w:t xml:space="preserve"> date to find the new order. The patient name in the transfer request (for example, the name visible in the Transfer Back section of the Mock Tool) can help you identify the correct order.</w:t>
      </w:r>
    </w:p>
    <w:p>
      <w:pPr>
        <w:jc w:val="center"/>
      </w:pPr>
      <w:r>
        <w:drawing>
          <wp:inline xmlns:a="http://schemas.openxmlformats.org/drawingml/2006/main" xmlns:pic="http://schemas.openxmlformats.org/drawingml/2006/picture">
            <wp:extent cx="5577840" cy="3145449"/>
            <wp:docPr id="18" name="Picture 18"/>
            <wp:cNvGraphicFramePr>
              <a:graphicFrameLocks noChangeAspect="1"/>
            </wp:cNvGraphicFramePr>
            <a:graphic>
              <a:graphicData uri="http://schemas.openxmlformats.org/drawingml/2006/picture">
                <pic:pic>
                  <pic:nvPicPr>
                    <pic:cNvPr id="0" name="frame-0055.png"/>
                    <pic:cNvPicPr/>
                  </pic:nvPicPr>
                  <pic:blipFill>
                    <a:blip r:embed="rId29"/>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00:28:00.000</w:t>
      </w:r>
    </w:p>
    <w:p>
      <w:pPr>
        <w:pStyle w:val="Heading2"/>
      </w:pPr>
      <w:r>
        <w:t>18. Stop the Transfer In request after the order appears</w:t>
      </w:r>
    </w:p>
    <w:p>
      <w:pPr>
        <w:spacing w:after="60"/>
      </w:pPr>
      <w:r>
        <w:rPr>
          <w:rFonts w:ascii="Calibri" w:hAnsi="Calibri"/>
          <w:b/>
        </w:rPr>
        <w:t xml:space="preserve">Action: </w:t>
      </w:r>
      <w:r>
        <w:rPr>
          <w:rFonts w:ascii="Calibri" w:hAnsi="Calibri"/>
          <w:b w:val="0"/>
          <w:i w:val="0"/>
        </w:rPr>
        <w:t xml:space="preserve">As soon as you see the order in Data Entry, return to the </w:t>
      </w:r>
      <w:r>
        <w:rPr>
          <w:rFonts w:ascii="Calibri" w:hAnsi="Calibri"/>
          <w:b/>
          <w:i w:val="0"/>
        </w:rPr>
        <w:t>requests.json</w:t>
      </w:r>
      <w:r>
        <w:rPr>
          <w:rFonts w:ascii="Calibri" w:hAnsi="Calibri"/>
          <w:b w:val="0"/>
          <w:i w:val="0"/>
        </w:rPr>
        <w:t xml:space="preserve"> file, set the Transfer In entry's </w:t>
      </w:r>
      <w:r>
        <w:rPr>
          <w:rFonts w:ascii="Calibri" w:hAnsi="Calibri"/>
          <w:b/>
          <w:i w:val="0"/>
        </w:rPr>
        <w:t>isHidden</w:t>
      </w:r>
      <w:r>
        <w:rPr>
          <w:rFonts w:ascii="Calibri" w:hAnsi="Calibri"/>
          <w:b w:val="0"/>
          <w:i w:val="0"/>
        </w:rPr>
        <w:t xml:space="preserve"> field back to </w:t>
      </w:r>
      <w:r>
        <w:rPr>
          <w:rFonts w:ascii="Calibri" w:hAnsi="Calibri"/>
          <w:b/>
          <w:i w:val="0"/>
        </w:rPr>
        <w:t>true</w:t>
      </w:r>
      <w:r>
        <w:rPr>
          <w:rFonts w:ascii="Calibri" w:hAnsi="Calibri"/>
          <w:b w:val="0"/>
          <w:i w:val="0"/>
        </w:rPr>
        <w:t>, and save the file. Verify in System Logs that the Blink Fulfillment Processor entries for that request have stopped.</w:t>
        <w:br/>
        <w:br/>
      </w:r>
      <w:r>
        <w:rPr>
          <w:rFonts w:ascii="Calibri" w:hAnsi="Calibri"/>
          <w:b/>
          <w:i w:val="0"/>
        </w:rPr>
        <w:t>Important:</w:t>
      </w:r>
      <w:r>
        <w:rPr>
          <w:rFonts w:ascii="Calibri" w:hAnsi="Calibri"/>
          <w:b w:val="0"/>
          <w:i w:val="0"/>
        </w:rPr>
        <w:t xml:space="preserve"> You must stop the Transfer In request before running any other request type (Claim, Dispense, or Transfer Back). Running two transfer requests simultaneously will prevent other request types from processing.</w:t>
      </w:r>
    </w:p>
    <w:p>
      <w:pPr>
        <w:jc w:val="center"/>
      </w:pPr>
      <w:r>
        <w:drawing>
          <wp:inline xmlns:a="http://schemas.openxmlformats.org/drawingml/2006/main" xmlns:pic="http://schemas.openxmlformats.org/drawingml/2006/picture">
            <wp:extent cx="5577840" cy="3145449"/>
            <wp:docPr id="19" name="Picture 19"/>
            <wp:cNvGraphicFramePr>
              <a:graphicFrameLocks noChangeAspect="1"/>
            </wp:cNvGraphicFramePr>
            <a:graphic>
              <a:graphicData uri="http://schemas.openxmlformats.org/drawingml/2006/picture">
                <pic:pic>
                  <pic:nvPicPr>
                    <pic:cNvPr id="0" name="frame-0058.png"/>
                    <pic:cNvPicPr/>
                  </pic:nvPicPr>
                  <pic:blipFill>
                    <a:blip r:embed="rId30"/>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00:29:30.000</w:t>
      </w:r>
    </w:p>
    <w:p>
      <w:pPr>
        <w:pStyle w:val="Heading2"/>
      </w:pPr>
      <w:r>
        <w:t>Run the Claim Request</w:t>
      </w:r>
    </w:p>
    <w:p>
      <w:pPr>
        <w:pStyle w:val="Heading2"/>
      </w:pPr>
      <w:r>
        <w:t>19. Understand what the claim request does</w:t>
      </w:r>
    </w:p>
    <w:p>
      <w:pPr>
        <w:spacing w:after="60"/>
      </w:pPr>
      <w:r>
        <w:rPr>
          <w:rFonts w:ascii="Calibri" w:hAnsi="Calibri"/>
          <w:b/>
        </w:rPr>
        <w:t xml:space="preserve">Action: </w:t>
      </w:r>
      <w:r>
        <w:rPr>
          <w:rFonts w:ascii="Calibri" w:hAnsi="Calibri"/>
          <w:b w:val="0"/>
          <w:i w:val="0"/>
        </w:rPr>
        <w:t>After the Transfer In order arrives in Data Entry, Blink sends a Claim request. This triggers automatic adjudication in New Leaf. The claim is processed against the insurance plans on the customer's profile. Three plan tiers are used: primary, secondary, and tertiary.</w:t>
      </w:r>
    </w:p>
    <w:p>
      <w:pPr>
        <w:jc w:val="center"/>
      </w:pPr>
      <w:r>
        <w:drawing>
          <wp:inline xmlns:a="http://schemas.openxmlformats.org/drawingml/2006/main" xmlns:pic="http://schemas.openxmlformats.org/drawingml/2006/picture">
            <wp:extent cx="5577840" cy="3145449"/>
            <wp:docPr id="20" name="Picture 20"/>
            <wp:cNvGraphicFramePr>
              <a:graphicFrameLocks noChangeAspect="1"/>
            </wp:cNvGraphicFramePr>
            <a:graphic>
              <a:graphicData uri="http://schemas.openxmlformats.org/drawingml/2006/picture">
                <pic:pic>
                  <pic:nvPicPr>
                    <pic:cNvPr id="0" name="frame-0061.png"/>
                    <pic:cNvPicPr/>
                  </pic:nvPicPr>
                  <pic:blipFill>
                    <a:blip r:embed="rId31"/>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00:31:00.000</w:t>
      </w:r>
    </w:p>
    <w:p>
      <w:pPr>
        <w:pStyle w:val="Heading2"/>
      </w:pPr>
      <w:r>
        <w:t>20. Verify the customer profile has the required plans</w:t>
      </w:r>
    </w:p>
    <w:p>
      <w:pPr>
        <w:spacing w:after="60"/>
      </w:pPr>
      <w:r>
        <w:rPr>
          <w:rFonts w:ascii="Calibri" w:hAnsi="Calibri"/>
          <w:b/>
        </w:rPr>
        <w:t xml:space="preserve">Action: </w:t>
      </w:r>
      <w:r>
        <w:rPr>
          <w:rFonts w:ascii="Calibri" w:hAnsi="Calibri"/>
          <w:b w:val="0"/>
          <w:i w:val="0"/>
        </w:rPr>
        <w:t xml:space="preserve">Before running the claim, confirm that the customer's profile includes the insurance plans that will be used for adjudication. Open the customer profile and check the </w:t>
      </w:r>
      <w:r>
        <w:rPr>
          <w:rFonts w:ascii="Calibri" w:hAnsi="Calibri"/>
          <w:b/>
          <w:i w:val="0"/>
        </w:rPr>
        <w:t>Plans</w:t>
      </w:r>
      <w:r>
        <w:rPr>
          <w:rFonts w:ascii="Calibri" w:hAnsi="Calibri"/>
          <w:b w:val="0"/>
          <w:i w:val="0"/>
        </w:rPr>
        <w:t xml:space="preserve"> tab. The plans listed there (for example, Demo Plan 1 and Demo Plan 2 for the transfer request, and the primary, secondary, and tertiary plans for the claim) must match the plan details in the </w:t>
      </w:r>
      <w:r>
        <w:rPr>
          <w:rFonts w:ascii="Calibri" w:hAnsi="Calibri"/>
          <w:b/>
          <w:i w:val="0"/>
        </w:rPr>
        <w:t>plans.json</w:t>
      </w:r>
      <w:r>
        <w:rPr>
          <w:rFonts w:ascii="Calibri" w:hAnsi="Calibri"/>
          <w:b w:val="0"/>
          <w:i w:val="0"/>
        </w:rPr>
        <w:t xml:space="preserve"> file in the Mock Tool's custom data folder.</w:t>
      </w:r>
    </w:p>
    <w:p>
      <w:pPr>
        <w:jc w:val="center"/>
      </w:pPr>
      <w:r>
        <w:drawing>
          <wp:inline xmlns:a="http://schemas.openxmlformats.org/drawingml/2006/main" xmlns:pic="http://schemas.openxmlformats.org/drawingml/2006/picture">
            <wp:extent cx="5577840" cy="3145449"/>
            <wp:docPr id="21" name="Picture 21"/>
            <wp:cNvGraphicFramePr>
              <a:graphicFrameLocks noChangeAspect="1"/>
            </wp:cNvGraphicFramePr>
            <a:graphic>
              <a:graphicData uri="http://schemas.openxmlformats.org/drawingml/2006/picture">
                <pic:pic>
                  <pic:nvPicPr>
                    <pic:cNvPr id="0" name="frame-0064.png"/>
                    <pic:cNvPicPr/>
                  </pic:nvPicPr>
                  <pic:blipFill>
                    <a:blip r:embed="rId32"/>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00:32:30.000</w:t>
      </w:r>
    </w:p>
    <w:p>
      <w:pPr>
        <w:pStyle w:val="Heading2"/>
      </w:pPr>
      <w:r>
        <w:t>21. Activate the claim request</w:t>
      </w:r>
    </w:p>
    <w:p>
      <w:pPr>
        <w:spacing w:after="60"/>
      </w:pPr>
      <w:r>
        <w:rPr>
          <w:rFonts w:ascii="Calibri" w:hAnsi="Calibri"/>
          <w:b/>
        </w:rPr>
        <w:t xml:space="preserve">Action: </w:t>
      </w:r>
      <w:r>
        <w:rPr>
          <w:rFonts w:ascii="Calibri" w:hAnsi="Calibri"/>
          <w:b w:val="0"/>
          <w:i w:val="0"/>
        </w:rPr>
        <w:t xml:space="preserve">Open the </w:t>
      </w:r>
      <w:r>
        <w:rPr>
          <w:rFonts w:ascii="Calibri" w:hAnsi="Calibri"/>
          <w:b/>
          <w:i w:val="0"/>
        </w:rPr>
        <w:t>Blink Mock Data\data\claims\requests.json</w:t>
      </w:r>
      <w:r>
        <w:rPr>
          <w:rFonts w:ascii="Calibri" w:hAnsi="Calibri"/>
          <w:b w:val="0"/>
          <w:i w:val="0"/>
        </w:rPr>
        <w:t xml:space="preserve"> file. Locate the claim submission entry and set </w:t>
      </w:r>
      <w:r>
        <w:rPr>
          <w:rFonts w:ascii="Calibri" w:hAnsi="Calibri"/>
          <w:b/>
          <w:i w:val="0"/>
        </w:rPr>
        <w:t>isHidden</w:t>
      </w:r>
      <w:r>
        <w:rPr>
          <w:rFonts w:ascii="Calibri" w:hAnsi="Calibri"/>
          <w:b w:val="0"/>
          <w:i w:val="0"/>
        </w:rPr>
        <w:t xml:space="preserve"> to </w:t>
      </w:r>
      <w:r>
        <w:rPr>
          <w:rFonts w:ascii="Calibri" w:hAnsi="Calibri"/>
          <w:b/>
          <w:i w:val="0"/>
        </w:rPr>
        <w:t>false</w:t>
      </w:r>
      <w:r>
        <w:rPr>
          <w:rFonts w:ascii="Calibri" w:hAnsi="Calibri"/>
          <w:b w:val="0"/>
          <w:i w:val="0"/>
        </w:rPr>
        <w:t>. Save the file.</w:t>
      </w:r>
    </w:p>
    <w:p>
      <w:pPr>
        <w:jc w:val="center"/>
      </w:pPr>
      <w:r>
        <w:drawing>
          <wp:inline xmlns:a="http://schemas.openxmlformats.org/drawingml/2006/main" xmlns:pic="http://schemas.openxmlformats.org/drawingml/2006/picture">
            <wp:extent cx="5577840" cy="3145449"/>
            <wp:docPr id="22" name="Picture 22"/>
            <wp:cNvGraphicFramePr>
              <a:graphicFrameLocks noChangeAspect="1"/>
            </wp:cNvGraphicFramePr>
            <a:graphic>
              <a:graphicData uri="http://schemas.openxmlformats.org/drawingml/2006/picture">
                <pic:pic>
                  <pic:nvPicPr>
                    <pic:cNvPr id="0" name="frame-0068.png"/>
                    <pic:cNvPicPr/>
                  </pic:nvPicPr>
                  <pic:blipFill>
                    <a:blip r:embed="rId33"/>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00:34:30.000</w:t>
      </w:r>
    </w:p>
    <w:p>
      <w:pPr>
        <w:pStyle w:val="Heading2"/>
      </w:pPr>
      <w:r>
        <w:t>22. Confirm the claim is processing in System Logs</w:t>
      </w:r>
    </w:p>
    <w:p>
      <w:pPr>
        <w:spacing w:after="60"/>
      </w:pPr>
      <w:r>
        <w:rPr>
          <w:rFonts w:ascii="Calibri" w:hAnsi="Calibri"/>
          <w:b/>
        </w:rPr>
        <w:t xml:space="preserve">Action: </w:t>
      </w:r>
      <w:r>
        <w:rPr>
          <w:rFonts w:ascii="Calibri" w:hAnsi="Calibri"/>
          <w:b w:val="0"/>
          <w:i w:val="0"/>
        </w:rPr>
        <w:t xml:space="preserve">In New Leaf System Logs, refresh and look for entries named </w:t>
      </w:r>
      <w:r>
        <w:rPr>
          <w:rFonts w:ascii="Calibri" w:hAnsi="Calibri"/>
          <w:b/>
          <w:i w:val="0"/>
        </w:rPr>
        <w:t>Processing Claims Submission Request</w:t>
      </w:r>
      <w:r>
        <w:rPr>
          <w:rFonts w:ascii="Calibri" w:hAnsi="Calibri"/>
          <w:b w:val="0"/>
          <w:i w:val="0"/>
        </w:rPr>
        <w:t>. These entries confirm that the claim adjudication is running.</w:t>
      </w:r>
    </w:p>
    <w:p>
      <w:pPr>
        <w:jc w:val="center"/>
      </w:pPr>
      <w:r>
        <w:drawing>
          <wp:inline xmlns:a="http://schemas.openxmlformats.org/drawingml/2006/main" xmlns:pic="http://schemas.openxmlformats.org/drawingml/2006/picture">
            <wp:extent cx="5577840" cy="3145449"/>
            <wp:docPr id="23" name="Picture 23"/>
            <wp:cNvGraphicFramePr>
              <a:graphicFrameLocks noChangeAspect="1"/>
            </wp:cNvGraphicFramePr>
            <a:graphic>
              <a:graphicData uri="http://schemas.openxmlformats.org/drawingml/2006/picture">
                <pic:pic>
                  <pic:nvPicPr>
                    <pic:cNvPr id="0" name="frame-0071.png"/>
                    <pic:cNvPicPr/>
                  </pic:nvPicPr>
                  <pic:blipFill>
                    <a:blip r:embed="rId34"/>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00:36:00.000</w:t>
      </w:r>
    </w:p>
    <w:p>
      <w:pPr>
        <w:pStyle w:val="Heading2"/>
      </w:pPr>
      <w:r>
        <w:t>23. Stop the claim request immediately after the first poll</w:t>
      </w:r>
    </w:p>
    <w:p>
      <w:pPr>
        <w:spacing w:after="60"/>
      </w:pPr>
      <w:r>
        <w:rPr>
          <w:rFonts w:ascii="Calibri" w:hAnsi="Calibri"/>
          <w:b/>
        </w:rPr>
        <w:t xml:space="preserve">Action: </w:t>
      </w:r>
      <w:r>
        <w:rPr>
          <w:rFonts w:ascii="Calibri" w:hAnsi="Calibri"/>
          <w:b w:val="0"/>
          <w:i w:val="0"/>
        </w:rPr>
        <w:t xml:space="preserve">As soon as you see the </w:t>
      </w:r>
      <w:r>
        <w:rPr>
          <w:rFonts w:ascii="Calibri" w:hAnsi="Calibri"/>
          <w:b/>
          <w:i w:val="0"/>
        </w:rPr>
        <w:t>Processing Claims Submission Request</w:t>
      </w:r>
      <w:r>
        <w:rPr>
          <w:rFonts w:ascii="Calibri" w:hAnsi="Calibri"/>
          <w:b w:val="0"/>
          <w:i w:val="0"/>
        </w:rPr>
        <w:t xml:space="preserve"> log entry, return to the claims </w:t>
      </w:r>
      <w:r>
        <w:rPr>
          <w:rFonts w:ascii="Calibri" w:hAnsi="Calibri"/>
          <w:b/>
          <w:i w:val="0"/>
        </w:rPr>
        <w:t>requests.json</w:t>
      </w:r>
      <w:r>
        <w:rPr>
          <w:rFonts w:ascii="Calibri" w:hAnsi="Calibri"/>
          <w:b w:val="0"/>
          <w:i w:val="0"/>
        </w:rPr>
        <w:t xml:space="preserve"> file, set </w:t>
      </w:r>
      <w:r>
        <w:rPr>
          <w:rFonts w:ascii="Calibri" w:hAnsi="Calibri"/>
          <w:b/>
          <w:i w:val="0"/>
        </w:rPr>
        <w:t>isHidden</w:t>
      </w:r>
      <w:r>
        <w:rPr>
          <w:rFonts w:ascii="Calibri" w:hAnsi="Calibri"/>
          <w:b w:val="0"/>
          <w:i w:val="0"/>
        </w:rPr>
        <w:t xml:space="preserve"> back to </w:t>
      </w:r>
      <w:r>
        <w:rPr>
          <w:rFonts w:ascii="Calibri" w:hAnsi="Calibri"/>
          <w:b/>
          <w:i w:val="0"/>
        </w:rPr>
        <w:t>true</w:t>
      </w:r>
      <w:r>
        <w:rPr>
          <w:rFonts w:ascii="Calibri" w:hAnsi="Calibri"/>
          <w:b w:val="0"/>
          <w:i w:val="0"/>
        </w:rPr>
        <w:t>, and save the file.</w:t>
        <w:br/>
        <w:br/>
      </w:r>
      <w:r>
        <w:rPr>
          <w:rFonts w:ascii="Calibri" w:hAnsi="Calibri"/>
          <w:b/>
          <w:i w:val="0"/>
        </w:rPr>
        <w:t>Important:</w:t>
      </w:r>
      <w:r>
        <w:rPr>
          <w:rFonts w:ascii="Calibri" w:hAnsi="Calibri"/>
          <w:b w:val="0"/>
          <w:i w:val="0"/>
        </w:rPr>
        <w:t xml:space="preserve"> If the claim request continues to run, it will process the claim multiple times. This will cause the prescription to become read-only in New Leaf. If this happens, the prescription will become editable again after the Dispense request is processed. To avoid this, stop the claim request as quickly as possible after the first run. If you need more time, increase the polling interval to 20–30 seconds before activating the claim.</w:t>
      </w:r>
    </w:p>
    <w:p>
      <w:pPr>
        <w:jc w:val="center"/>
      </w:pPr>
      <w:r>
        <w:drawing>
          <wp:inline xmlns:a="http://schemas.openxmlformats.org/drawingml/2006/main" xmlns:pic="http://schemas.openxmlformats.org/drawingml/2006/picture">
            <wp:extent cx="5577840" cy="3145449"/>
            <wp:docPr id="24" name="Picture 24"/>
            <wp:cNvGraphicFramePr>
              <a:graphicFrameLocks noChangeAspect="1"/>
            </wp:cNvGraphicFramePr>
            <a:graphic>
              <a:graphicData uri="http://schemas.openxmlformats.org/drawingml/2006/picture">
                <pic:pic>
                  <pic:nvPicPr>
                    <pic:cNvPr id="0" name="frame-0074.png"/>
                    <pic:cNvPicPr/>
                  </pic:nvPicPr>
                  <pic:blipFill>
                    <a:blip r:embed="rId35"/>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00:37:30.000</w:t>
      </w:r>
    </w:p>
    <w:p>
      <w:pPr>
        <w:pStyle w:val="Heading2"/>
      </w:pPr>
      <w:commentRangeStart w:id="2"/>
      <w:r>
        <w:t>24. Verify the order has moved to PV1</w:t>
      </w:r>
      <w:commentRangeEnd w:id="2"/>
      <w:r>
        <w:rPr>
          <w:rStyle w:val="CommentReference"/>
        </w:rPr>
        <w:commentReference w:id="2"/>
      </w:r>
    </w:p>
    <w:p>
      <w:pPr>
        <w:spacing w:after="60"/>
      </w:pPr>
      <w:r>
        <w:rPr>
          <w:rFonts w:ascii="Calibri" w:hAnsi="Calibri"/>
          <w:b/>
        </w:rPr>
        <w:t xml:space="preserve">Action: </w:t>
      </w:r>
      <w:r>
        <w:rPr>
          <w:rFonts w:ascii="Calibri" w:hAnsi="Calibri"/>
          <w:b w:val="0"/>
          <w:i w:val="0"/>
        </w:rPr>
        <w:t xml:space="preserve">After the claim processes successfully, refresh your workflow view. The order should now appear in the </w:t>
      </w:r>
      <w:r>
        <w:rPr>
          <w:rFonts w:ascii="Calibri" w:hAnsi="Calibri"/>
          <w:b/>
          <w:i w:val="0"/>
        </w:rPr>
        <w:t>PV1</w:t>
      </w:r>
      <w:r>
        <w:rPr>
          <w:rFonts w:ascii="Calibri" w:hAnsi="Calibri"/>
          <w:b w:val="0"/>
          <w:i w:val="0"/>
        </w:rPr>
        <w:t xml:space="preserve"> stage. Open the order to confirm that the three plan tiers (primary, secondary, and tertiary) have been adjudicated.</w:t>
      </w:r>
    </w:p>
    <w:p>
      <w:pPr>
        <w:jc w:val="center"/>
      </w:pPr>
      <w:r>
        <w:drawing>
          <wp:inline xmlns:a="http://schemas.openxmlformats.org/drawingml/2006/main" xmlns:pic="http://schemas.openxmlformats.org/drawingml/2006/picture">
            <wp:extent cx="5577840" cy="3145449"/>
            <wp:docPr id="25" name="Picture 25"/>
            <wp:cNvGraphicFramePr>
              <a:graphicFrameLocks noChangeAspect="1"/>
            </wp:cNvGraphicFramePr>
            <a:graphic>
              <a:graphicData uri="http://schemas.openxmlformats.org/drawingml/2006/picture">
                <pic:pic>
                  <pic:nvPicPr>
                    <pic:cNvPr id="0" name="frame-0077.png"/>
                    <pic:cNvPicPr/>
                  </pic:nvPicPr>
                  <pic:blipFill>
                    <a:blip r:embed="rId36"/>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00:39:00.000</w:t>
      </w:r>
    </w:p>
    <w:p>
      <w:pPr>
        <w:pStyle w:val="Heading2"/>
      </w:pPr>
      <w:r>
        <w:t>Run the Dispense Request</w:t>
      </w:r>
    </w:p>
    <w:p>
      <w:pPr>
        <w:pStyle w:val="Heading2"/>
      </w:pPr>
      <w:commentRangeStart w:id="3"/>
      <w:r>
        <w:t>25. Understand what the dispense request does</w:t>
      </w:r>
      <w:commentRangeEnd w:id="3"/>
      <w:r>
        <w:rPr>
          <w:rStyle w:val="CommentReference"/>
        </w:rPr>
        <w:commentReference w:id="3"/>
      </w:r>
    </w:p>
    <w:p>
      <w:pPr>
        <w:spacing w:after="60"/>
      </w:pPr>
      <w:r>
        <w:rPr>
          <w:rFonts w:ascii="Calibri" w:hAnsi="Calibri"/>
          <w:b/>
        </w:rPr>
        <w:t xml:space="preserve">Action: </w:t>
      </w:r>
      <w:r>
        <w:rPr>
          <w:rFonts w:ascii="Calibri" w:hAnsi="Calibri"/>
          <w:b w:val="0"/>
          <w:i w:val="0"/>
        </w:rPr>
        <w:t xml:space="preserve">After the claim is complete, Blink sends a Dispense request to New Leaf. This request signals that the order is ready to be processed through the dispensing workflow. When the Dispense request is received, New Leaf records a </w:t>
      </w:r>
      <w:r>
        <w:rPr>
          <w:rFonts w:ascii="Calibri" w:hAnsi="Calibri"/>
          <w:b/>
          <w:i w:val="0"/>
        </w:rPr>
        <w:t>Dispense Request Received</w:t>
      </w:r>
      <w:r>
        <w:rPr>
          <w:rFonts w:ascii="Calibri" w:hAnsi="Calibri"/>
          <w:b w:val="0"/>
          <w:i w:val="0"/>
        </w:rPr>
        <w:t xml:space="preserve"> timestamp on the order and removes the PDR order flag.</w:t>
      </w:r>
    </w:p>
    <w:p>
      <w:pPr>
        <w:jc w:val="center"/>
      </w:pPr>
      <w:r>
        <w:drawing>
          <wp:inline xmlns:a="http://schemas.openxmlformats.org/drawingml/2006/main" xmlns:pic="http://schemas.openxmlformats.org/drawingml/2006/picture">
            <wp:extent cx="5577840" cy="3145449"/>
            <wp:docPr id="26" name="Picture 26"/>
            <wp:cNvGraphicFramePr>
              <a:graphicFrameLocks noChangeAspect="1"/>
            </wp:cNvGraphicFramePr>
            <a:graphic>
              <a:graphicData uri="http://schemas.openxmlformats.org/drawingml/2006/picture">
                <pic:pic>
                  <pic:nvPicPr>
                    <pic:cNvPr id="0" name="frame-0081.png"/>
                    <pic:cNvPicPr/>
                  </pic:nvPicPr>
                  <pic:blipFill>
                    <a:blip r:embed="rId37"/>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00:41:00.000</w:t>
      </w:r>
    </w:p>
    <w:p>
      <w:pPr>
        <w:pStyle w:val="Heading2"/>
      </w:pPr>
      <w:commentRangeStart w:id="4"/>
      <w:r>
        <w:t>26. Understand the PDR order flag</w:t>
      </w:r>
      <w:commentRangeEnd w:id="4"/>
      <w:r>
        <w:rPr>
          <w:rStyle w:val="CommentReference"/>
        </w:rPr>
        <w:commentReference w:id="4"/>
      </w:r>
    </w:p>
    <w:p>
      <w:pPr>
        <w:spacing w:after="60"/>
      </w:pPr>
      <w:r>
        <w:rPr>
          <w:rFonts w:ascii="Calibri" w:hAnsi="Calibri"/>
          <w:b/>
        </w:rPr>
        <w:t xml:space="preserve">Action: </w:t>
      </w:r>
      <w:r>
        <w:rPr>
          <w:rFonts w:ascii="Calibri" w:hAnsi="Calibri"/>
          <w:b w:val="0"/>
          <w:i w:val="0"/>
        </w:rPr>
        <w:t xml:space="preserve">When a Blink order reaches PV1 after the claim request, the </w:t>
      </w:r>
      <w:r>
        <w:rPr>
          <w:rFonts w:ascii="Calibri" w:hAnsi="Calibri"/>
          <w:b/>
          <w:i w:val="0"/>
        </w:rPr>
        <w:t>PDR</w:t>
      </w:r>
      <w:r>
        <w:rPr>
          <w:rFonts w:ascii="Calibri" w:hAnsi="Calibri"/>
          <w:b w:val="0"/>
          <w:i w:val="0"/>
        </w:rPr>
        <w:t xml:space="preserve"> flag is automatically enabled on the order. This flag indicates that the order is waiting for the Dispense request from Blink. While the PDR flag is active, you cannot process the order further in the New Leaf workflow. Once the Dispense request is received and the flag is removed, you can continue processing the order normally.</w:t>
      </w:r>
    </w:p>
    <w:p>
      <w:pPr>
        <w:jc w:val="center"/>
      </w:pPr>
      <w:r>
        <w:drawing>
          <wp:inline xmlns:a="http://schemas.openxmlformats.org/drawingml/2006/main" xmlns:pic="http://schemas.openxmlformats.org/drawingml/2006/picture">
            <wp:extent cx="5577840" cy="3145449"/>
            <wp:docPr id="27" name="Picture 27"/>
            <wp:cNvGraphicFramePr>
              <a:graphicFrameLocks noChangeAspect="1"/>
            </wp:cNvGraphicFramePr>
            <a:graphic>
              <a:graphicData uri="http://schemas.openxmlformats.org/drawingml/2006/picture">
                <pic:pic>
                  <pic:nvPicPr>
                    <pic:cNvPr id="0" name="frame-0084.png"/>
                    <pic:cNvPicPr/>
                  </pic:nvPicPr>
                  <pic:blipFill>
                    <a:blip r:embed="rId38"/>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00:42:30.000</w:t>
      </w:r>
    </w:p>
    <w:p>
      <w:pPr>
        <w:pStyle w:val="Heading2"/>
      </w:pPr>
      <w:r>
        <w:t>27. Activate the dispense request</w:t>
      </w:r>
    </w:p>
    <w:p>
      <w:pPr>
        <w:spacing w:after="60"/>
      </w:pPr>
      <w:r>
        <w:rPr>
          <w:rFonts w:ascii="Calibri" w:hAnsi="Calibri"/>
          <w:b/>
        </w:rPr>
        <w:t xml:space="preserve">Action: </w:t>
      </w:r>
      <w:r>
        <w:rPr>
          <w:rFonts w:ascii="Calibri" w:hAnsi="Calibri"/>
          <w:b w:val="0"/>
          <w:i w:val="0"/>
        </w:rPr>
        <w:t xml:space="preserve">Open the </w:t>
      </w:r>
      <w:r>
        <w:rPr>
          <w:rFonts w:ascii="Calibri" w:hAnsi="Calibri"/>
          <w:b/>
          <w:i w:val="0"/>
        </w:rPr>
        <w:t>requests.json</w:t>
      </w:r>
      <w:r>
        <w:rPr>
          <w:rFonts w:ascii="Calibri" w:hAnsi="Calibri"/>
          <w:b w:val="0"/>
          <w:i w:val="0"/>
        </w:rPr>
        <w:t xml:space="preserve"> file in the Blink Mock Data folder. Locate the </w:t>
      </w:r>
      <w:r>
        <w:rPr>
          <w:rFonts w:ascii="Calibri" w:hAnsi="Calibri"/>
          <w:b/>
          <w:i w:val="0"/>
        </w:rPr>
        <w:t>Dispense Request</w:t>
      </w:r>
      <w:r>
        <w:rPr>
          <w:rFonts w:ascii="Calibri" w:hAnsi="Calibri"/>
          <w:b w:val="0"/>
          <w:i w:val="0"/>
        </w:rPr>
        <w:t xml:space="preserve"> entry and set </w:t>
      </w:r>
      <w:r>
        <w:rPr>
          <w:rFonts w:ascii="Calibri" w:hAnsi="Calibri"/>
          <w:b/>
          <w:i w:val="0"/>
        </w:rPr>
        <w:t>isHidden</w:t>
      </w:r>
      <w:r>
        <w:rPr>
          <w:rFonts w:ascii="Calibri" w:hAnsi="Calibri"/>
          <w:b w:val="0"/>
          <w:i w:val="0"/>
        </w:rPr>
        <w:t xml:space="preserve"> to </w:t>
      </w:r>
      <w:r>
        <w:rPr>
          <w:rFonts w:ascii="Calibri" w:hAnsi="Calibri"/>
          <w:b/>
          <w:i w:val="0"/>
        </w:rPr>
        <w:t>false</w:t>
      </w:r>
      <w:r>
        <w:rPr>
          <w:rFonts w:ascii="Calibri" w:hAnsi="Calibri"/>
          <w:b w:val="0"/>
          <w:i w:val="0"/>
        </w:rPr>
        <w:t>. Save the file.</w:t>
      </w:r>
    </w:p>
    <w:p>
      <w:pPr>
        <w:jc w:val="center"/>
      </w:pPr>
      <w:r>
        <w:drawing>
          <wp:inline xmlns:a="http://schemas.openxmlformats.org/drawingml/2006/main" xmlns:pic="http://schemas.openxmlformats.org/drawingml/2006/picture">
            <wp:extent cx="5577840" cy="3145449"/>
            <wp:docPr id="28" name="Picture 28"/>
            <wp:cNvGraphicFramePr>
              <a:graphicFrameLocks noChangeAspect="1"/>
            </wp:cNvGraphicFramePr>
            <a:graphic>
              <a:graphicData uri="http://schemas.openxmlformats.org/drawingml/2006/picture">
                <pic:pic>
                  <pic:nvPicPr>
                    <pic:cNvPr id="0" name="frame-0087.png"/>
                    <pic:cNvPicPr/>
                  </pic:nvPicPr>
                  <pic:blipFill>
                    <a:blip r:embed="rId39"/>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00:44:00.000</w:t>
      </w:r>
    </w:p>
    <w:p>
      <w:pPr>
        <w:pStyle w:val="Heading2"/>
      </w:pPr>
      <w:r>
        <w:t>28. Confirm the dispense request in System Logs and stop the request</w:t>
      </w:r>
    </w:p>
    <w:p>
      <w:pPr>
        <w:spacing w:after="60"/>
      </w:pPr>
      <w:r>
        <w:rPr>
          <w:rFonts w:ascii="Calibri" w:hAnsi="Calibri"/>
          <w:b/>
        </w:rPr>
        <w:t xml:space="preserve">Action: </w:t>
      </w:r>
      <w:r>
        <w:rPr>
          <w:rFonts w:ascii="Calibri" w:hAnsi="Calibri"/>
          <w:b w:val="0"/>
          <w:i w:val="0"/>
        </w:rPr>
        <w:t xml:space="preserve">In New Leaf System Logs, refresh and look for entries named </w:t>
      </w:r>
      <w:r>
        <w:rPr>
          <w:rFonts w:ascii="Calibri" w:hAnsi="Calibri"/>
          <w:b/>
          <w:i w:val="0"/>
        </w:rPr>
        <w:t>Processing Dispense Request</w:t>
      </w:r>
      <w:r>
        <w:rPr>
          <w:rFonts w:ascii="Calibri" w:hAnsi="Calibri"/>
          <w:b w:val="0"/>
          <w:i w:val="0"/>
        </w:rPr>
        <w:t xml:space="preserve"> followed by the order reference ID. As soon as you see this entry, return to the </w:t>
      </w:r>
      <w:r>
        <w:rPr>
          <w:rFonts w:ascii="Calibri" w:hAnsi="Calibri"/>
          <w:b/>
          <w:i w:val="0"/>
        </w:rPr>
        <w:t>requests.json</w:t>
      </w:r>
      <w:r>
        <w:rPr>
          <w:rFonts w:ascii="Calibri" w:hAnsi="Calibri"/>
          <w:b w:val="0"/>
          <w:i w:val="0"/>
        </w:rPr>
        <w:t xml:space="preserve"> file, set the Dispense Request entry's </w:t>
      </w:r>
      <w:r>
        <w:rPr>
          <w:rFonts w:ascii="Calibri" w:hAnsi="Calibri"/>
          <w:b/>
          <w:i w:val="0"/>
        </w:rPr>
        <w:t>isHidden</w:t>
      </w:r>
      <w:r>
        <w:rPr>
          <w:rFonts w:ascii="Calibri" w:hAnsi="Calibri"/>
          <w:b w:val="0"/>
          <w:i w:val="0"/>
        </w:rPr>
        <w:t xml:space="preserve"> back to </w:t>
      </w:r>
      <w:r>
        <w:rPr>
          <w:rFonts w:ascii="Calibri" w:hAnsi="Calibri"/>
          <w:b/>
          <w:i w:val="0"/>
        </w:rPr>
        <w:t>true</w:t>
      </w:r>
      <w:r>
        <w:rPr>
          <w:rFonts w:ascii="Calibri" w:hAnsi="Calibri"/>
          <w:b w:val="0"/>
          <w:i w:val="0"/>
        </w:rPr>
        <w:t>, and save the file.</w:t>
      </w:r>
    </w:p>
    <w:p>
      <w:pPr>
        <w:jc w:val="center"/>
      </w:pPr>
      <w:r>
        <w:drawing>
          <wp:inline xmlns:a="http://schemas.openxmlformats.org/drawingml/2006/main" xmlns:pic="http://schemas.openxmlformats.org/drawingml/2006/picture">
            <wp:extent cx="5577840" cy="3145449"/>
            <wp:docPr id="29" name="Picture 29"/>
            <wp:cNvGraphicFramePr>
              <a:graphicFrameLocks noChangeAspect="1"/>
            </wp:cNvGraphicFramePr>
            <a:graphic>
              <a:graphicData uri="http://schemas.openxmlformats.org/drawingml/2006/picture">
                <pic:pic>
                  <pic:nvPicPr>
                    <pic:cNvPr id="0" name="frame-0090.png"/>
                    <pic:cNvPicPr/>
                  </pic:nvPicPr>
                  <pic:blipFill>
                    <a:blip r:embed="rId40"/>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00:45:30.000</w:t>
      </w:r>
    </w:p>
    <w:p>
      <w:pPr>
        <w:pStyle w:val="Heading2"/>
      </w:pPr>
      <w:commentRangeStart w:id="5"/>
      <w:r>
        <w:t>29. Verify the order is ready to process</w:t>
      </w:r>
      <w:commentRangeEnd w:id="5"/>
      <w:r>
        <w:rPr>
          <w:rStyle w:val="CommentReference"/>
        </w:rPr>
        <w:commentReference w:id="5"/>
      </w:r>
    </w:p>
    <w:p>
      <w:pPr>
        <w:spacing w:after="60"/>
      </w:pPr>
      <w:r>
        <w:rPr>
          <w:rFonts w:ascii="Calibri" w:hAnsi="Calibri"/>
          <w:b/>
        </w:rPr>
        <w:t xml:space="preserve">Action: </w:t>
      </w:r>
      <w:r>
        <w:rPr>
          <w:rFonts w:ascii="Calibri" w:hAnsi="Calibri"/>
          <w:b w:val="0"/>
          <w:i w:val="0"/>
        </w:rPr>
        <w:t>Refresh the PV1 order view. Confirm that:</w:t>
        <w:br/>
        <w:t xml:space="preserve">- The </w:t>
      </w:r>
      <w:r>
        <w:rPr>
          <w:rFonts w:ascii="Calibri" w:hAnsi="Calibri"/>
          <w:b/>
          <w:i w:val="0"/>
        </w:rPr>
        <w:t>Dispense Request Received</w:t>
      </w:r>
      <w:r>
        <w:rPr>
          <w:rFonts w:ascii="Calibri" w:hAnsi="Calibri"/>
          <w:b w:val="0"/>
          <w:i w:val="0"/>
        </w:rPr>
        <w:t xml:space="preserve"> timestamp is now recorded on the order.</w:t>
        <w:br/>
        <w:t xml:space="preserve">- The </w:t>
      </w:r>
      <w:r>
        <w:rPr>
          <w:rFonts w:ascii="Calibri" w:hAnsi="Calibri"/>
          <w:b/>
          <w:i w:val="0"/>
        </w:rPr>
        <w:t>PDR</w:t>
      </w:r>
      <w:r>
        <w:rPr>
          <w:rFonts w:ascii="Calibri" w:hAnsi="Calibri"/>
          <w:b w:val="0"/>
          <w:i w:val="0"/>
        </w:rPr>
        <w:t xml:space="preserve"> flag is no longer checked on the order.</w:t>
        <w:br/>
        <w:br/>
        <w:t>Once the PDR flag is removed, you can process the order through the remaining New Leaf workflow steps as you would for any standard order. Note that Blink orders skip the scheduling stage and proceed directly to dispensing.</w:t>
      </w:r>
    </w:p>
    <w:p>
      <w:pPr>
        <w:jc w:val="center"/>
      </w:pPr>
      <w:r>
        <w:drawing>
          <wp:inline xmlns:a="http://schemas.openxmlformats.org/drawingml/2006/main" xmlns:pic="http://schemas.openxmlformats.org/drawingml/2006/picture">
            <wp:extent cx="5577840" cy="3145449"/>
            <wp:docPr id="30" name="Picture 30"/>
            <wp:cNvGraphicFramePr>
              <a:graphicFrameLocks noChangeAspect="1"/>
            </wp:cNvGraphicFramePr>
            <a:graphic>
              <a:graphicData uri="http://schemas.openxmlformats.org/drawingml/2006/picture">
                <pic:pic>
                  <pic:nvPicPr>
                    <pic:cNvPr id="0" name="frame-0094.png"/>
                    <pic:cNvPicPr/>
                  </pic:nvPicPr>
                  <pic:blipFill>
                    <a:blip r:embed="rId41"/>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00:47:30.000</w:t>
      </w:r>
    </w:p>
    <w:p>
      <w:pPr>
        <w:pStyle w:val="Heading2"/>
      </w:pPr>
      <w:r>
        <w:t>Run a Transfer Back Request</w:t>
      </w:r>
    </w:p>
    <w:p>
      <w:pPr>
        <w:pStyle w:val="Heading2"/>
      </w:pPr>
      <w:commentRangeStart w:id="6"/>
      <w:r>
        <w:t>30. Understand the three Transfer Back scenarios</w:t>
      </w:r>
      <w:commentRangeEnd w:id="6"/>
      <w:r>
        <w:rPr>
          <w:rStyle w:val="CommentReference"/>
        </w:rPr>
        <w:commentReference w:id="6"/>
      </w:r>
    </w:p>
    <w:p>
      <w:pPr>
        <w:spacing w:after="60"/>
      </w:pPr>
      <w:r>
        <w:rPr>
          <w:rFonts w:ascii="Calibri" w:hAnsi="Calibri"/>
          <w:b/>
        </w:rPr>
        <w:t xml:space="preserve">Action: </w:t>
      </w:r>
      <w:r>
        <w:rPr>
          <w:rFonts w:ascii="Calibri" w:hAnsi="Calibri"/>
          <w:b w:val="0"/>
          <w:i w:val="0"/>
        </w:rPr>
        <w:t>A Transfer Back request returns an order to Blink. You can initiate a Transfer Back at three points in the workflow, and the result differs depending on when it is sent:</w:t>
        <w:br/>
        <w:br/>
        <w:t xml:space="preserve">1. </w:t>
      </w:r>
      <w:r>
        <w:rPr>
          <w:rFonts w:ascii="Calibri" w:hAnsi="Calibri"/>
          <w:b/>
          <w:i w:val="0"/>
        </w:rPr>
        <w:t>After Transfer In (order in Data Entry):</w:t>
      </w:r>
      <w:r>
        <w:rPr>
          <w:rFonts w:ascii="Calibri" w:hAnsi="Calibri"/>
          <w:b w:val="0"/>
          <w:i w:val="0"/>
        </w:rPr>
        <w:t xml:space="preserve"> The order moves to Completed status, is marked as Transferred, and is removed from Data Entry.</w:t>
        <w:br/>
        <w:t xml:space="preserve">2. </w:t>
      </w:r>
      <w:r>
        <w:rPr>
          <w:rFonts w:ascii="Calibri" w:hAnsi="Calibri"/>
          <w:b/>
          <w:i w:val="0"/>
        </w:rPr>
        <w:t>After the Claim request (PDR flag still active):</w:t>
      </w:r>
      <w:r>
        <w:rPr>
          <w:rFonts w:ascii="Calibri" w:hAnsi="Calibri"/>
          <w:b w:val="0"/>
          <w:i w:val="0"/>
        </w:rPr>
        <w:t xml:space="preserve"> The claim is reversed and the order returns to the adjudication stage.</w:t>
        <w:br/>
        <w:t xml:space="preserve">3. </w:t>
      </w:r>
      <w:r>
        <w:rPr>
          <w:rFonts w:ascii="Calibri" w:hAnsi="Calibri"/>
          <w:b/>
          <w:i w:val="0"/>
        </w:rPr>
        <w:t>After the Dispense request (PDR flag removed):</w:t>
      </w:r>
      <w:r>
        <w:rPr>
          <w:rFonts w:ascii="Calibri" w:hAnsi="Calibri"/>
          <w:b w:val="0"/>
          <w:i w:val="0"/>
        </w:rPr>
        <w:t xml:space="preserve"> The order is marked as Transferred and Completed.</w:t>
      </w:r>
    </w:p>
    <w:p>
      <w:pPr>
        <w:jc w:val="center"/>
      </w:pPr>
      <w:r>
        <w:drawing>
          <wp:inline xmlns:a="http://schemas.openxmlformats.org/drawingml/2006/main" xmlns:pic="http://schemas.openxmlformats.org/drawingml/2006/picture">
            <wp:extent cx="5577840" cy="3145449"/>
            <wp:docPr id="31" name="Picture 31"/>
            <wp:cNvGraphicFramePr>
              <a:graphicFrameLocks noChangeAspect="1"/>
            </wp:cNvGraphicFramePr>
            <a:graphic>
              <a:graphicData uri="http://schemas.openxmlformats.org/drawingml/2006/picture">
                <pic:pic>
                  <pic:nvPicPr>
                    <pic:cNvPr id="0" name="frame-0097.png"/>
                    <pic:cNvPicPr/>
                  </pic:nvPicPr>
                  <pic:blipFill>
                    <a:blip r:embed="rId42"/>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00:49:00.000</w:t>
      </w:r>
    </w:p>
    <w:p>
      <w:pPr>
        <w:pStyle w:val="Heading2"/>
      </w:pPr>
      <w:r>
        <w:t>31. Activate the Transfer Back Initiation request</w:t>
      </w:r>
    </w:p>
    <w:p>
      <w:pPr>
        <w:spacing w:after="60"/>
      </w:pPr>
      <w:r>
        <w:rPr>
          <w:rFonts w:ascii="Calibri" w:hAnsi="Calibri"/>
          <w:b/>
        </w:rPr>
        <w:t xml:space="preserve">Action: </w:t>
      </w:r>
      <w:r>
        <w:rPr>
          <w:rFonts w:ascii="Calibri" w:hAnsi="Calibri"/>
          <w:b w:val="0"/>
          <w:i w:val="0"/>
        </w:rPr>
        <w:t xml:space="preserve">Open the </w:t>
      </w:r>
      <w:r>
        <w:rPr>
          <w:rFonts w:ascii="Calibri" w:hAnsi="Calibri"/>
          <w:b/>
          <w:i w:val="0"/>
        </w:rPr>
        <w:t>requests.json</w:t>
      </w:r>
      <w:r>
        <w:rPr>
          <w:rFonts w:ascii="Calibri" w:hAnsi="Calibri"/>
          <w:b w:val="0"/>
          <w:i w:val="0"/>
        </w:rPr>
        <w:t xml:space="preserve"> file in the Blink Mock Data folder. Locate the </w:t>
      </w:r>
      <w:r>
        <w:rPr>
          <w:rFonts w:ascii="Calibri" w:hAnsi="Calibri"/>
          <w:b/>
          <w:i w:val="0"/>
        </w:rPr>
        <w:t>Transfer Back Initiation Request</w:t>
      </w:r>
      <w:r>
        <w:rPr>
          <w:rFonts w:ascii="Calibri" w:hAnsi="Calibri"/>
          <w:b w:val="0"/>
          <w:i w:val="0"/>
        </w:rPr>
        <w:t xml:space="preserve"> entry and set </w:t>
      </w:r>
      <w:r>
        <w:rPr>
          <w:rFonts w:ascii="Calibri" w:hAnsi="Calibri"/>
          <w:b/>
          <w:i w:val="0"/>
        </w:rPr>
        <w:t>isHidden</w:t>
      </w:r>
      <w:r>
        <w:rPr>
          <w:rFonts w:ascii="Calibri" w:hAnsi="Calibri"/>
          <w:b w:val="0"/>
          <w:i w:val="0"/>
        </w:rPr>
        <w:t xml:space="preserve"> to </w:t>
      </w:r>
      <w:r>
        <w:rPr>
          <w:rFonts w:ascii="Calibri" w:hAnsi="Calibri"/>
          <w:b/>
          <w:i w:val="0"/>
        </w:rPr>
        <w:t>false</w:t>
      </w:r>
      <w:r>
        <w:rPr>
          <w:rFonts w:ascii="Calibri" w:hAnsi="Calibri"/>
          <w:b w:val="0"/>
          <w:i w:val="0"/>
        </w:rPr>
        <w:t>. Save the file.</w:t>
      </w:r>
    </w:p>
    <w:p>
      <w:pPr>
        <w:jc w:val="center"/>
      </w:pPr>
      <w:r>
        <w:drawing>
          <wp:inline xmlns:a="http://schemas.openxmlformats.org/drawingml/2006/main" xmlns:pic="http://schemas.openxmlformats.org/drawingml/2006/picture">
            <wp:extent cx="5577840" cy="3145449"/>
            <wp:docPr id="32" name="Picture 32"/>
            <wp:cNvGraphicFramePr>
              <a:graphicFrameLocks noChangeAspect="1"/>
            </wp:cNvGraphicFramePr>
            <a:graphic>
              <a:graphicData uri="http://schemas.openxmlformats.org/drawingml/2006/picture">
                <pic:pic>
                  <pic:nvPicPr>
                    <pic:cNvPr id="0" name="frame-0100.png"/>
                    <pic:cNvPicPr/>
                  </pic:nvPicPr>
                  <pic:blipFill>
                    <a:blip r:embed="rId43"/>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00:50:30.000</w:t>
      </w:r>
    </w:p>
    <w:p>
      <w:pPr>
        <w:pStyle w:val="Heading2"/>
      </w:pPr>
      <w:r>
        <w:t>32. Confirm the Transfer Back in System Logs and stop the request</w:t>
      </w:r>
    </w:p>
    <w:p>
      <w:pPr>
        <w:spacing w:after="60"/>
      </w:pPr>
      <w:r>
        <w:rPr>
          <w:rFonts w:ascii="Calibri" w:hAnsi="Calibri"/>
          <w:b/>
        </w:rPr>
        <w:t xml:space="preserve">Action: </w:t>
      </w:r>
      <w:r>
        <w:rPr>
          <w:rFonts w:ascii="Calibri" w:hAnsi="Calibri"/>
          <w:b w:val="0"/>
          <w:i w:val="0"/>
        </w:rPr>
        <w:t xml:space="preserve">In New Leaf System Logs, refresh and look for entries named </w:t>
      </w:r>
      <w:r>
        <w:rPr>
          <w:rFonts w:ascii="Calibri" w:hAnsi="Calibri"/>
          <w:b/>
          <w:i w:val="0"/>
        </w:rPr>
        <w:t>Processing Transfer Back Initiation Request</w:t>
      </w:r>
      <w:r>
        <w:rPr>
          <w:rFonts w:ascii="Calibri" w:hAnsi="Calibri"/>
          <w:b w:val="0"/>
          <w:i w:val="0"/>
        </w:rPr>
        <w:t xml:space="preserve">. As soon as you see this entry, return to the </w:t>
      </w:r>
      <w:r>
        <w:rPr>
          <w:rFonts w:ascii="Calibri" w:hAnsi="Calibri"/>
          <w:b/>
          <w:i w:val="0"/>
        </w:rPr>
        <w:t>requests.json</w:t>
      </w:r>
      <w:r>
        <w:rPr>
          <w:rFonts w:ascii="Calibri" w:hAnsi="Calibri"/>
          <w:b w:val="0"/>
          <w:i w:val="0"/>
        </w:rPr>
        <w:t xml:space="preserve"> file, set the Transfer Back Initiation Request entry's </w:t>
      </w:r>
      <w:r>
        <w:rPr>
          <w:rFonts w:ascii="Calibri" w:hAnsi="Calibri"/>
          <w:b/>
          <w:i w:val="0"/>
        </w:rPr>
        <w:t>isHidden</w:t>
      </w:r>
      <w:r>
        <w:rPr>
          <w:rFonts w:ascii="Calibri" w:hAnsi="Calibri"/>
          <w:b w:val="0"/>
          <w:i w:val="0"/>
        </w:rPr>
        <w:t xml:space="preserve"> back to </w:t>
      </w:r>
      <w:r>
        <w:rPr>
          <w:rFonts w:ascii="Calibri" w:hAnsi="Calibri"/>
          <w:b/>
          <w:i w:val="0"/>
        </w:rPr>
        <w:t>true</w:t>
      </w:r>
      <w:r>
        <w:rPr>
          <w:rFonts w:ascii="Calibri" w:hAnsi="Calibri"/>
          <w:b w:val="0"/>
          <w:i w:val="0"/>
        </w:rPr>
        <w:t>, and save the file.</w:t>
      </w:r>
    </w:p>
    <w:p>
      <w:pPr>
        <w:jc w:val="center"/>
      </w:pPr>
      <w:r>
        <w:drawing>
          <wp:inline xmlns:a="http://schemas.openxmlformats.org/drawingml/2006/main" xmlns:pic="http://schemas.openxmlformats.org/drawingml/2006/picture">
            <wp:extent cx="5577840" cy="3145449"/>
            <wp:docPr id="33" name="Picture 33"/>
            <wp:cNvGraphicFramePr>
              <a:graphicFrameLocks noChangeAspect="1"/>
            </wp:cNvGraphicFramePr>
            <a:graphic>
              <a:graphicData uri="http://schemas.openxmlformats.org/drawingml/2006/picture">
                <pic:pic>
                  <pic:nvPicPr>
                    <pic:cNvPr id="0" name="frame-0103.png"/>
                    <pic:cNvPicPr/>
                  </pic:nvPicPr>
                  <pic:blipFill>
                    <a:blip r:embed="rId44"/>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00:52:00.000</w:t>
      </w:r>
    </w:p>
    <w:p>
      <w:pPr>
        <w:pStyle w:val="Heading2"/>
      </w:pPr>
      <w:r>
        <w:t>33. Verify the order status after Transfer Back</w:t>
      </w:r>
    </w:p>
    <w:p>
      <w:pPr>
        <w:spacing w:after="60"/>
      </w:pPr>
      <w:r>
        <w:rPr>
          <w:rFonts w:ascii="Calibri" w:hAnsi="Calibri"/>
          <w:b/>
        </w:rPr>
        <w:t xml:space="preserve">Action: </w:t>
      </w:r>
      <w:r>
        <w:rPr>
          <w:rFonts w:ascii="Calibri" w:hAnsi="Calibri"/>
          <w:b w:val="0"/>
          <w:i w:val="0"/>
        </w:rPr>
        <w:t xml:space="preserve">In New Leaf, search for the order using </w:t>
      </w:r>
      <w:r>
        <w:rPr>
          <w:rFonts w:ascii="Calibri" w:hAnsi="Calibri"/>
          <w:b/>
          <w:i w:val="0"/>
        </w:rPr>
        <w:t>F10</w:t>
      </w:r>
      <w:r>
        <w:rPr>
          <w:rFonts w:ascii="Calibri" w:hAnsi="Calibri"/>
          <w:b w:val="0"/>
          <w:i w:val="0"/>
        </w:rPr>
        <w:t xml:space="preserve"> or by the order number. Confirm that the order status shows </w:t>
      </w:r>
      <w:r>
        <w:rPr>
          <w:rFonts w:ascii="Calibri" w:hAnsi="Calibri"/>
          <w:b/>
          <w:i w:val="0"/>
        </w:rPr>
        <w:t>Transferred</w:t>
      </w:r>
      <w:r>
        <w:rPr>
          <w:rFonts w:ascii="Calibri" w:hAnsi="Calibri"/>
          <w:b w:val="0"/>
          <w:i w:val="0"/>
        </w:rPr>
        <w:t xml:space="preserve"> and </w:t>
      </w:r>
      <w:r>
        <w:rPr>
          <w:rFonts w:ascii="Calibri" w:hAnsi="Calibri"/>
          <w:b/>
          <w:i w:val="0"/>
        </w:rPr>
        <w:t>Completed</w:t>
      </w:r>
      <w:r>
        <w:rPr>
          <w:rFonts w:ascii="Calibri" w:hAnsi="Calibri"/>
          <w:b w:val="0"/>
          <w:i w:val="0"/>
        </w:rPr>
        <w:t>.</w:t>
      </w:r>
    </w:p>
    <w:p>
      <w:pPr>
        <w:jc w:val="center"/>
      </w:pPr>
      <w:r>
        <w:drawing>
          <wp:inline xmlns:a="http://schemas.openxmlformats.org/drawingml/2006/main" xmlns:pic="http://schemas.openxmlformats.org/drawingml/2006/picture">
            <wp:extent cx="5577840" cy="3145449"/>
            <wp:docPr id="34" name="Picture 34"/>
            <wp:cNvGraphicFramePr>
              <a:graphicFrameLocks noChangeAspect="1"/>
            </wp:cNvGraphicFramePr>
            <a:graphic>
              <a:graphicData uri="http://schemas.openxmlformats.org/drawingml/2006/picture">
                <pic:pic>
                  <pic:nvPicPr>
                    <pic:cNvPr id="0" name="frame-0107.png"/>
                    <pic:cNvPicPr/>
                  </pic:nvPicPr>
                  <pic:blipFill>
                    <a:blip r:embed="rId45"/>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00:54:00.000</w:t>
      </w:r>
    </w:p>
    <w:p>
      <w:pPr>
        <w:pStyle w:val="Heading2"/>
      </w:pPr>
      <w:r>
        <w:t>Monitor Blink Activity Using Logs and the Blink Request Table</w:t>
      </w:r>
    </w:p>
    <w:p>
      <w:pPr>
        <w:pStyle w:val="Heading2"/>
      </w:pPr>
      <w:r>
        <w:t>34. Use System Logs to monitor polling activity</w:t>
      </w:r>
    </w:p>
    <w:p>
      <w:pPr>
        <w:spacing w:after="60"/>
      </w:pPr>
      <w:r>
        <w:rPr>
          <w:rFonts w:ascii="Calibri" w:hAnsi="Calibri"/>
          <w:b/>
        </w:rPr>
        <w:t xml:space="preserve">Action: </w:t>
      </w:r>
      <w:r>
        <w:rPr>
          <w:rFonts w:ascii="Calibri" w:hAnsi="Calibri"/>
          <w:b w:val="0"/>
          <w:i w:val="0"/>
        </w:rPr>
        <w:t xml:space="preserve">In New Leaf, open </w:t>
      </w:r>
      <w:r>
        <w:rPr>
          <w:rFonts w:ascii="Calibri" w:hAnsi="Calibri"/>
          <w:b/>
          <w:i w:val="0"/>
        </w:rPr>
        <w:t>System Logs</w:t>
      </w:r>
      <w:r>
        <w:rPr>
          <w:rFonts w:ascii="Calibri" w:hAnsi="Calibri"/>
          <w:b w:val="0"/>
          <w:i w:val="0"/>
        </w:rPr>
        <w:t xml:space="preserve"> and sort by log date descending. Use the following log source names to identify Blink activity:</w:t>
        <w:br/>
        <w:br/>
        <w:t xml:space="preserve">- </w:t>
      </w:r>
      <w:r>
        <w:rPr>
          <w:rFonts w:ascii="Calibri" w:hAnsi="Calibri"/>
          <w:b/>
          <w:i w:val="0"/>
        </w:rPr>
        <w:t>Blink Fulfillment Processor</w:t>
      </w:r>
      <w:r>
        <w:rPr>
          <w:rFonts w:ascii="Calibri" w:hAnsi="Calibri"/>
          <w:b w:val="0"/>
          <w:i w:val="0"/>
        </w:rPr>
        <w:t xml:space="preserve"> — Confirms that the polling processor is running.</w:t>
        <w:br/>
        <w:t xml:space="preserve">- </w:t>
      </w:r>
      <w:r>
        <w:rPr>
          <w:rFonts w:ascii="Calibri" w:hAnsi="Calibri"/>
          <w:b/>
          <w:i w:val="0"/>
        </w:rPr>
        <w:t>Processing Claims Submission Request</w:t>
      </w:r>
      <w:r>
        <w:rPr>
          <w:rFonts w:ascii="Calibri" w:hAnsi="Calibri"/>
          <w:b w:val="0"/>
          <w:i w:val="0"/>
        </w:rPr>
        <w:t xml:space="preserve"> — Confirms that a claim request is active.</w:t>
        <w:br/>
        <w:t xml:space="preserve">- </w:t>
      </w:r>
      <w:r>
        <w:rPr>
          <w:rFonts w:ascii="Calibri" w:hAnsi="Calibri"/>
          <w:b/>
          <w:i w:val="0"/>
        </w:rPr>
        <w:t>Processing Dispense Request</w:t>
      </w:r>
      <w:r>
        <w:rPr>
          <w:rFonts w:ascii="Calibri" w:hAnsi="Calibri"/>
          <w:b w:val="0"/>
          <w:i w:val="0"/>
        </w:rPr>
        <w:t xml:space="preserve"> — Confirms that a dispense request is active.</w:t>
        <w:br/>
        <w:t xml:space="preserve">- </w:t>
      </w:r>
      <w:r>
        <w:rPr>
          <w:rFonts w:ascii="Calibri" w:hAnsi="Calibri"/>
          <w:b/>
          <w:i w:val="0"/>
        </w:rPr>
        <w:t>Processing Transfer Back Initiation Request</w:t>
      </w:r>
      <w:r>
        <w:rPr>
          <w:rFonts w:ascii="Calibri" w:hAnsi="Calibri"/>
          <w:b w:val="0"/>
          <w:i w:val="0"/>
        </w:rPr>
        <w:t xml:space="preserve"> — Confirms that a transfer back request is active.</w:t>
        <w:br/>
        <w:br/>
        <w:t>Each log entry includes a reference ID that corresponds to the order being processed.</w:t>
      </w:r>
    </w:p>
    <w:p>
      <w:pPr>
        <w:jc w:val="center"/>
      </w:pPr>
      <w:r>
        <w:drawing>
          <wp:inline xmlns:a="http://schemas.openxmlformats.org/drawingml/2006/main" xmlns:pic="http://schemas.openxmlformats.org/drawingml/2006/picture">
            <wp:extent cx="5577840" cy="3145449"/>
            <wp:docPr id="35" name="Picture 35"/>
            <wp:cNvGraphicFramePr>
              <a:graphicFrameLocks noChangeAspect="1"/>
            </wp:cNvGraphicFramePr>
            <a:graphic>
              <a:graphicData uri="http://schemas.openxmlformats.org/drawingml/2006/picture">
                <pic:pic>
                  <pic:nvPicPr>
                    <pic:cNvPr id="0" name="frame-0110.png"/>
                    <pic:cNvPicPr/>
                  </pic:nvPicPr>
                  <pic:blipFill>
                    <a:blip r:embed="rId46"/>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00:55:30.000</w:t>
      </w:r>
    </w:p>
    <w:p>
      <w:pPr>
        <w:pStyle w:val="Heading2"/>
      </w:pPr>
      <w:r>
        <w:t>35. Use the Blink Request table to review request status</w:t>
      </w:r>
    </w:p>
    <w:p>
      <w:pPr>
        <w:spacing w:after="60"/>
      </w:pPr>
      <w:r>
        <w:rPr>
          <w:rFonts w:ascii="Calibri" w:hAnsi="Calibri"/>
          <w:b/>
        </w:rPr>
        <w:t xml:space="preserve">Action: </w:t>
      </w:r>
      <w:r>
        <w:rPr>
          <w:rFonts w:ascii="Calibri" w:hAnsi="Calibri"/>
          <w:b w:val="0"/>
          <w:i w:val="0"/>
        </w:rPr>
        <w:t xml:space="preserve">New Leaf maintains a dedicated </w:t>
      </w:r>
      <w:r>
        <w:rPr>
          <w:rFonts w:ascii="Calibri" w:hAnsi="Calibri"/>
          <w:b/>
          <w:i w:val="0"/>
        </w:rPr>
        <w:t>Blink Request</w:t>
      </w:r>
      <w:r>
        <w:rPr>
          <w:rFonts w:ascii="Calibri" w:hAnsi="Calibri"/>
          <w:b w:val="0"/>
          <w:i w:val="0"/>
        </w:rPr>
        <w:t xml:space="preserve"> table that shows the current status of all Blink requests. You can use this table to confirm which request types are running and to review the request history for a specific order.</w:t>
      </w:r>
    </w:p>
    <w:p>
      <w:pPr>
        <w:jc w:val="center"/>
      </w:pPr>
      <w:r>
        <w:drawing>
          <wp:inline xmlns:a="http://schemas.openxmlformats.org/drawingml/2006/main" xmlns:pic="http://schemas.openxmlformats.org/drawingml/2006/picture">
            <wp:extent cx="5577840" cy="3145449"/>
            <wp:docPr id="36" name="Picture 36"/>
            <wp:cNvGraphicFramePr>
              <a:graphicFrameLocks noChangeAspect="1"/>
            </wp:cNvGraphicFramePr>
            <a:graphic>
              <a:graphicData uri="http://schemas.openxmlformats.org/drawingml/2006/picture">
                <pic:pic>
                  <pic:nvPicPr>
                    <pic:cNvPr id="0" name="frame-0113.png"/>
                    <pic:cNvPicPr/>
                  </pic:nvPicPr>
                  <pic:blipFill>
                    <a:blip r:embed="rId47"/>
                    <a:stretch>
                      <a:fillRect/>
                    </a:stretch>
                  </pic:blipFill>
                  <pic:spPr>
                    <a:xfrm>
                      <a:off x="0" y="0"/>
                      <a:ext cx="5577840" cy="3145449"/>
                    </a:xfrm>
                    <a:prstGeom prst="rect"/>
                  </pic:spPr>
                </pic:pic>
              </a:graphicData>
            </a:graphic>
          </wp:inline>
        </w:drawing>
      </w:r>
    </w:p>
    <w:p>
      <w:pPr>
        <w:jc w:val="center"/>
      </w:pPr>
      <w:r>
        <w:rPr>
          <w:rFonts w:ascii="Calibri" w:hAnsi="Calibri"/>
          <w:b w:val="0"/>
          <w:i/>
          <w:sz w:val="17"/>
        </w:rPr>
        <w:t>Candidate screenshot at 00:57:00.000</w:t>
      </w:r>
    </w:p>
    <w:p>
      <w:pPr>
        <w:pStyle w:val="Heading1"/>
      </w:pPr>
      <w:r>
        <w:t>Expected Results</w:t>
      </w:r>
    </w:p>
    <w:p>
      <w:pPr>
        <w:pStyle w:val="ListBullet"/>
      </w:pPr>
      <w:r>
        <w:rPr>
          <w:rFonts w:ascii="Calibri" w:hAnsi="Calibri"/>
          <w:b w:val="0"/>
          <w:i w:val="0"/>
        </w:rPr>
        <w:t>The user can complete the documented workflow and confirm the expected request or configuration outcome.</w:t>
      </w:r>
    </w:p>
    <w:p>
      <w:pPr>
        <w:pStyle w:val="Heading1"/>
      </w:pPr>
      <w:r>
        <w:t>Troubleshooting Notes</w:t>
      </w:r>
    </w:p>
    <w:p>
      <w:pPr>
        <w:pStyle w:val="ListBullet"/>
      </w:pPr>
      <w:r>
        <w:rPr>
          <w:rFonts w:ascii="Calibri" w:hAnsi="Calibri"/>
          <w:b w:val="0"/>
          <w:i w:val="0"/>
        </w:rPr>
        <w:t>If the workflow does not match the current application behavior, confirm the current process with the appropriate application owner.</w:t>
      </w:r>
    </w:p>
    <w:p>
      <w:pPr>
        <w:pStyle w:val="Heading1"/>
      </w:pPr>
      <w:r>
        <w:t>Appendix: Source Recording Metadata</w:t>
      </w:r>
    </w:p>
    <w:p>
      <w:pPr>
        <w:pStyle w:val="Heading2"/>
      </w:pPr>
      <w:r>
        <w:t>Document Control Metadata</w:t>
      </w:r>
    </w:p>
    <w:tbl>
      <w:tblPr>
        <w:tblStyle w:val="TableGrid"/>
        <w:tblW w:type="auto" w:w="0"/>
        <w:tblLayout w:type="fixed"/>
        <w:tblLook w:firstColumn="1" w:firstRow="1" w:lastColumn="0" w:lastRow="0" w:noHBand="0" w:noVBand="1" w:val="04A0"/>
      </w:tblPr>
      <w:tblGrid>
        <w:gridCol w:w="5040"/>
        <w:gridCol w:w="5040"/>
      </w:tblGrid>
      <w:tr>
        <w:tc>
          <w:tcPr>
            <w:tcW w:type="dxa" w:w="3024"/>
          </w:tcPr>
          <w:p>
            <w:r>
              <w:rPr>
                <w:rFonts w:ascii="Calibri" w:hAnsi="Calibri"/>
                <w:b/>
                <w:color w:val="1F2937"/>
                <w:sz w:val="19"/>
              </w:rPr>
              <w:t>Metadata Field</w:t>
            </w:r>
          </w:p>
        </w:tc>
        <w:tc>
          <w:tcPr>
            <w:tcW w:type="dxa" w:w="6696"/>
          </w:tcPr>
          <w:p>
            <w:r>
              <w:rPr>
                <w:rFonts w:ascii="Calibri" w:hAnsi="Calibri"/>
                <w:b/>
                <w:color w:val="1F2937"/>
                <w:sz w:val="19"/>
              </w:rPr>
              <w:t>Document Value</w:t>
            </w:r>
          </w:p>
        </w:tc>
      </w:tr>
      <w:tr>
        <w:tc>
          <w:tcPr>
            <w:tcW w:type="dxa" w:w="3024"/>
          </w:tcPr>
          <w:p>
            <w:r>
              <w:rPr>
                <w:rFonts w:ascii="Calibri" w:hAnsi="Calibri"/>
                <w:color w:val="1F2937"/>
                <w:sz w:val="19"/>
              </w:rPr>
              <w:t>Application</w:t>
            </w:r>
          </w:p>
        </w:tc>
        <w:tc>
          <w:tcPr>
            <w:tcW w:type="dxa" w:w="6696"/>
          </w:tcPr>
          <w:p>
            <w:r>
              <w:rPr>
                <w:rFonts w:ascii="Calibri" w:hAnsi="Calibri"/>
                <w:color w:val="1F2937"/>
                <w:sz w:val="19"/>
              </w:rPr>
              <w:t>New Leaf / Blink RX Interface</w:t>
            </w:r>
          </w:p>
        </w:tc>
      </w:tr>
      <w:tr>
        <w:tc>
          <w:tcPr>
            <w:tcW w:type="dxa" w:w="3024"/>
          </w:tcPr>
          <w:p>
            <w:r>
              <w:rPr>
                <w:rFonts w:ascii="Calibri" w:hAnsi="Calibri"/>
                <w:color w:val="1F2937"/>
                <w:sz w:val="19"/>
              </w:rPr>
              <w:t>Recording Duration</w:t>
            </w:r>
          </w:p>
        </w:tc>
        <w:tc>
          <w:tcPr>
            <w:tcW w:type="dxa" w:w="6696"/>
          </w:tcPr>
          <w:p>
            <w:r>
              <w:rPr>
                <w:rFonts w:ascii="Calibri" w:hAnsi="Calibri"/>
                <w:color w:val="1F2937"/>
                <w:sz w:val="19"/>
              </w:rPr>
              <w:t>Not specified</w:t>
            </w:r>
          </w:p>
        </w:tc>
      </w:tr>
      <w:tr>
        <w:tc>
          <w:tcPr>
            <w:tcW w:type="dxa" w:w="3024"/>
          </w:tcPr>
          <w:p>
            <w:r>
              <w:rPr>
                <w:rFonts w:ascii="Calibri" w:hAnsi="Calibri"/>
                <w:color w:val="1F2937"/>
                <w:sz w:val="19"/>
              </w:rPr>
              <w:t>Recorded At</w:t>
            </w:r>
          </w:p>
        </w:tc>
        <w:tc>
          <w:tcPr>
            <w:tcW w:type="dxa" w:w="6696"/>
          </w:tcPr>
          <w:p>
            <w:r>
              <w:rPr>
                <w:rFonts w:ascii="Calibri" w:hAnsi="Calibri"/>
                <w:color w:val="1F2937"/>
                <w:sz w:val="19"/>
              </w:rPr>
              <w:t>Not specified</w:t>
            </w:r>
          </w:p>
        </w:tc>
      </w:tr>
      <w:tr>
        <w:tc>
          <w:tcPr>
            <w:tcW w:type="dxa" w:w="3024"/>
          </w:tcPr>
          <w:p>
            <w:r>
              <w:rPr>
                <w:rFonts w:ascii="Calibri" w:hAnsi="Calibri"/>
                <w:color w:val="1F2937"/>
                <w:sz w:val="19"/>
              </w:rPr>
              <w:t>Source Recording</w:t>
            </w:r>
          </w:p>
        </w:tc>
        <w:tc>
          <w:tcPr>
            <w:tcW w:type="dxa" w:w="6696"/>
          </w:tcPr>
          <w:p>
            <w:r>
              <w:rPr>
                <w:rFonts w:ascii="Calibri" w:hAnsi="Calibri"/>
                <w:color w:val="1F2937"/>
                <w:sz w:val="19"/>
              </w:rPr>
              <w:t>Blink Rx Training Part 1 112125.mp4</w:t>
            </w:r>
          </w:p>
        </w:tc>
      </w:tr>
      <w:tr>
        <w:tc>
          <w:tcPr>
            <w:tcW w:type="dxa" w:w="3024"/>
          </w:tcPr>
          <w:p>
            <w:r>
              <w:rPr>
                <w:rFonts w:ascii="Calibri" w:hAnsi="Calibri"/>
                <w:color w:val="1F2937"/>
                <w:sz w:val="19"/>
              </w:rPr>
              <w:t>Input File</w:t>
            </w:r>
          </w:p>
        </w:tc>
        <w:tc>
          <w:tcPr>
            <w:tcW w:type="dxa" w:w="6696"/>
          </w:tcPr>
          <w:p>
            <w:r>
              <w:rPr>
                <w:rFonts w:ascii="Calibri" w:hAnsi="Calibri"/>
                <w:color w:val="1F2937"/>
                <w:sz w:val="19"/>
              </w:rPr>
              <w:t>/Users/djames/Documents/AppDev/KCXDocumentor/artifacts/generated/blink-rx-training-part-1-112125-4eba47fa6aa0/guide_draft.anthropic.json</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CXDocumentor Reviewer" w:initials="KCX" w:date="2026-06-04T22:04:20Z">
    <w:p>
      <w:pPr>
        <w:pStyle w:val="CommentText"/>
      </w:pPr>
      <w:r>
        <w:rPr>
          <w:rStyle w:val="CommentReference"/>
        </w:rPr>
        <w:annotationRef/>
      </w:r>
      <w:r>
        <w:t>The keyboard shortcut F8F6 opens the pharmacy profile in New Leaf, as stated in the transcript.</w:t>
      </w:r>
    </w:p>
    <w:p>
      <w:pPr>
        <w:pStyle w:val="CommentText"/>
      </w:pPr>
      <w:r>
        <w:t>The keyboard shortcut F11 opens the Data Entry workflow queue in New Leaf, as stated in the transcript.</w:t>
      </w:r>
    </w:p>
    <w:p>
      <w:pPr>
        <w:pStyle w:val="CommentText"/>
      </w:pPr>
      <w:r>
        <w:t>The keyboard shortcut F10 opens the order search in New Leaf, as stated in the transcript.</w:t>
      </w:r>
    </w:p>
    <w:p>
      <w:pPr>
        <w:pStyle w:val="CommentText"/>
      </w:pPr>
      <w:r>
        <w:t>The Blink Mock Tool is a testing utility used during implementation and QA; it is not used in production.</w:t>
      </w:r>
    </w:p>
    <w:p>
      <w:pPr>
        <w:pStyle w:val="CommentText"/>
      </w:pPr>
      <w:r>
        <w:t>The isHidden field name in the JSON files is as described in the transcript. Reviewer should verify exact field name casing.</w:t>
      </w:r>
    </w:p>
    <w:p>
      <w:pPr>
        <w:pStyle w:val="CommentText"/>
      </w:pPr>
      <w:r>
        <w:t>PV1 is a named workflow stage in New Leaf. Reviewer should verify the exact label as it appears in the UI.</w:t>
      </w:r>
    </w:p>
    <w:p>
      <w:pPr>
        <w:pStyle w:val="CommentText"/>
      </w:pPr>
      <w:r>
        <w:t>PDR is an order flag name used in the Blink integration. Reviewer should verify the full name and UI label.</w:t>
      </w:r>
    </w:p>
    <w:p>
      <w:pPr>
        <w:pStyle w:val="CommentText"/>
      </w:pPr>
      <w:r>
        <w:t>The scheduling stage is skipped for Blink orders as a configured business rule, not a manual user action.</w:t>
      </w:r>
    </w:p>
    <w:p>
      <w:pPr>
        <w:pStyle w:val="CommentText"/>
      </w:pPr>
      <w:r>
        <w:t>The Blink Mock Tool is installed on the C: drive. Actual installation path may vary by environment.</w:t>
      </w:r>
    </w:p>
    <w:p>
      <w:pPr>
        <w:pStyle w:val="CommentText"/>
      </w:pPr>
      <w:r>
        <w:t>Id: review-001</w:t>
      </w:r>
    </w:p>
    <w:p>
      <w:pPr>
        <w:pStyle w:val="CommentText"/>
      </w:pPr>
      <w:r>
        <w:t>Id: review-002</w:t>
      </w:r>
    </w:p>
    <w:p>
      <w:pPr>
        <w:pStyle w:val="CommentText"/>
      </w:pPr>
      <w:r>
        <w:t>Id: review-003</w:t>
      </w:r>
    </w:p>
    <w:p>
      <w:pPr>
        <w:pStyle w:val="CommentText"/>
      </w:pPr>
      <w:r>
        <w:t>Id: review-004</w:t>
      </w:r>
    </w:p>
    <w:p>
      <w:pPr>
        <w:pStyle w:val="CommentText"/>
      </w:pPr>
      <w:r>
        <w:t>Id: review-005</w:t>
      </w:r>
    </w:p>
    <w:p>
      <w:pPr>
        <w:pStyle w:val="CommentText"/>
      </w:pPr>
      <w:r>
        <w:t>Id: review-006</w:t>
      </w:r>
    </w:p>
    <w:p>
      <w:pPr>
        <w:pStyle w:val="CommentText"/>
      </w:pPr>
      <w:r>
        <w:t>Id: review-007</w:t>
      </w:r>
    </w:p>
    <w:p>
      <w:pPr>
        <w:pStyle w:val="CommentText"/>
      </w:pPr>
      <w:r>
        <w:t>Id: review-008</w:t>
      </w:r>
    </w:p>
    <w:p>
      <w:pPr>
        <w:pStyle w:val="CommentText"/>
      </w:pPr>
      <w:r>
        <w:t>Id: review-009</w:t>
      </w:r>
    </w:p>
  </w:comment>
  <w:comment w:id="1" w:author="KCXDocumentor Reviewer" w:initials="KCX" w:date="2026-06-04T22:04:20Z">
    <w:p>
      <w:pPr>
        <w:pStyle w:val="CommentText"/>
      </w:pPr>
      <w:r>
        <w:rPr>
          <w:rStyle w:val="CommentReference"/>
        </w:rPr>
        <w:annotationRef/>
      </w:r>
      <w:r>
        <w:t>The specific checkbox labels visible in the Mock Tool UI could not be confirmed from the transcript alone. A reviewer must verify the exact label names.</w:t>
      </w:r>
    </w:p>
    <w:p>
      <w:pPr>
        <w:pStyle w:val="CommentText"/>
      </w:pPr>
      <w:r>
        <w:t>Verify the exact required checkbox labels and update the instruction with the confirmed UI names.</w:t>
      </w:r>
    </w:p>
  </w:comment>
  <w:comment w:id="2" w:author="KCXDocumentor Reviewer" w:initials="KCX" w:date="2026-06-04T22:04:20Z">
    <w:p>
      <w:pPr>
        <w:pStyle w:val="CommentText"/>
      </w:pPr>
      <w:r>
        <w:rPr>
          <w:rStyle w:val="CommentReference"/>
        </w:rPr>
        <w:annotationRef/>
      </w:r>
      <w:r>
        <w:t>PV1 is a workflow stage in New Leaf. Reviewer should verify the exact label used in the New Leaf UI for this stage and update the step if needed.</w:t>
      </w:r>
    </w:p>
    <w:p>
      <w:pPr>
        <w:pStyle w:val="CommentText"/>
      </w:pPr>
      <w:r>
        <w:t>Verify that 'PV1' is the correct UI term and define it for the intended audience if needed.</w:t>
      </w:r>
    </w:p>
  </w:comment>
  <w:comment w:id="3" w:author="KCXDocumentor Reviewer" w:initials="KCX" w:date="2026-06-04T22:04:20Z">
    <w:p>
      <w:pPr>
        <w:pStyle w:val="CommentText"/>
      </w:pPr>
      <w:r>
        <w:rPr>
          <w:rStyle w:val="CommentReference"/>
        </w:rPr>
        <w:annotationRef/>
      </w:r>
      <w:r>
        <w:t>PDR is an order flag used in the Blink workflow. Reviewer should verify the full name or definition of PDR as it appears in the New Leaf UI and update this step accordingly.</w:t>
      </w:r>
    </w:p>
    <w:p>
      <w:pPr>
        <w:pStyle w:val="CommentText"/>
      </w:pPr>
      <w:r>
        <w:t>Verify that 'PDR' is the correct UI term and define it for the intended audience if needed.</w:t>
      </w:r>
    </w:p>
  </w:comment>
  <w:comment w:id="4" w:author="KCXDocumentor Reviewer" w:initials="KCX" w:date="2026-06-04T22:04:20Z">
    <w:p>
      <w:pPr>
        <w:pStyle w:val="CommentText"/>
      </w:pPr>
      <w:r>
        <w:rPr>
          <w:rStyle w:val="CommentReference"/>
        </w:rPr>
        <w:annotationRef/>
      </w:r>
      <w:r>
        <w:t>Reviewer should verify the exact label for the PDR flag as it appears in the New Leaf order screen and confirm whether it is a checkbox, icon, or field label.</w:t>
      </w:r>
    </w:p>
    <w:p>
      <w:pPr>
        <w:pStyle w:val="CommentText"/>
      </w:pPr>
      <w:r>
        <w:t>Verify that 'PV1' is the correct UI term and define it for the intended audience if needed.</w:t>
      </w:r>
    </w:p>
    <w:p>
      <w:pPr>
        <w:pStyle w:val="CommentText"/>
      </w:pPr>
      <w:r>
        <w:t>Verify that 'PDR' is the correct UI term and define it for the intended audience if needed.</w:t>
      </w:r>
    </w:p>
  </w:comment>
  <w:comment w:id="5" w:author="KCXDocumentor Reviewer" w:initials="KCX" w:date="2026-06-04T22:04:20Z">
    <w:p>
      <w:pPr>
        <w:pStyle w:val="CommentText"/>
      </w:pPr>
      <w:r>
        <w:rPr>
          <w:rStyle w:val="CommentReference"/>
        </w:rPr>
        <w:annotationRef/>
      </w:r>
      <w:r>
        <w:t>Verify that 'PV1' is the correct UI term and define it for the intended audience if needed.</w:t>
      </w:r>
    </w:p>
    <w:p>
      <w:pPr>
        <w:pStyle w:val="CommentText"/>
      </w:pPr>
      <w:r>
        <w:t>Verify that 'PDR' is the correct UI term and define it for the intended audience if needed.</w:t>
      </w:r>
    </w:p>
  </w:comment>
  <w:comment w:id="6" w:author="KCXDocumentor Reviewer" w:initials="KCX" w:date="2026-06-04T22:04:20Z">
    <w:p>
      <w:pPr>
        <w:pStyle w:val="CommentText"/>
      </w:pPr>
      <w:r>
        <w:rPr>
          <w:rStyle w:val="CommentReference"/>
        </w:rPr>
        <w:annotationRef/>
      </w:r>
      <w:r>
        <w:t>Verify that 'PDR' is the correct UI term and define it for the intended audience if needed.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B7280"/>
        <w:sz w:val="17"/>
      </w:rPr>
      <w:t>keycentrix confidential</w:t>
    </w:r>
  </w:p>
  <w:p>
    <w:pPr>
      <w:jc w:val="right"/>
    </w:pPr>
    <w:r>
      <w:rPr>
        <w:rFonts w:ascii="Calibri" w:hAnsi="Calibri"/>
        <w:color w:val="6B7280"/>
        <w:sz w:val="17"/>
      </w:rPr>
      <w:t xml:space="preserve">Page </w:t>
    </w:r>
    <w:r>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Blink RX Integration: Workflow Guide for New Leaf Users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C75BC"/>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omments" Target="comment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KCXDocumentor - Sample Generated User Guide - Blink Rx</dc:title>
  <dc:subject/>
  <dc:creator>keycentrix</dc:creator>
  <cp:keywords/>
  <dc:description>Showcase copy packaged with the DamienDev document recipe pattern.</dc:description>
  <cp:lastModifiedBy/>
  <cp:revision>1</cp:revision>
  <dcterms:created xsi:type="dcterms:W3CDTF">2013-12-23T23:15:00Z</dcterms:created>
  <dcterms:modified xsi:type="dcterms:W3CDTF">2013-12-23T23:15:00Z</dcterms:modified>
  <cp:category/>
</cp:coreProperties>
</file>