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hourly kilometre-scale fine particulate matter reconstruction for Kandy, Sri Lanka: construction, evaluation under sparse local monitoring, and measurement priorities</w:t>
      </w:r>
    </w:p>
    <w:p>
      <w:pPr>
        <w:pStyle w:val="Author"/>
      </w:pPr>
      <w:r>
        <w:t xml:space="preserve">A. M. D. W. B. Alahakoon, Department of Environmental and Industrial Sciences, University of Peradeniya, Sri Lanka</w:t>
      </w:r>
    </w:p>
    <w:p>
      <w:pPr>
        <w:pStyle w:val="Date"/>
      </w:pPr>
      <w:r>
        <w:t xml:space="preserve">2026</w:t>
      </w:r>
    </w:p>
    <w:p>
      <w:pPr>
        <w:pStyle w:val="FirstParagraph"/>
      </w:pPr>
      <w:r>
        <w:rPr>
          <w:b/>
          <w:bCs/>
        </w:rPr>
        <w:t xml:space="preserve">Undergraduate research project report (ENS4998), 2026.</w:t>
      </w:r>
      <w:r>
        <w:t xml:space="preserve"> </w:t>
      </w:r>
      <w:r>
        <w:t xml:space="preserve">The report runs to</w:t>
      </w:r>
      <w:r>
        <w:t xml:space="preserve"> </w:t>
      </w:r>
      <w:r>
        <w:t xml:space="preserve">55,603 words, 33 figures and 15 tables, and</w:t>
      </w:r>
      <w:r>
        <w:t xml:space="preserve"> </w:t>
      </w:r>
      <w:r>
        <w:t xml:space="preserve">rests on seventeen pre-registrations lodged before the analyses they cover.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Fine particulate matter (PM2.5) carries the largest estimated burden of disease of any air</w:t>
      </w:r>
      <w:r>
        <w:t xml:space="preserve"> </w:t>
      </w:r>
      <w:r>
        <w:t xml:space="preserve">pollutant, and monitoring is sparsest where concentrations are highest. Kandy is such a city: a</w:t>
      </w:r>
      <w:r>
        <w:t xml:space="preserve"> </w:t>
      </w:r>
      <w:r>
        <w:t xml:space="preserve">valley settlement in the central highlands of Sri Lanka with 98,828 residents inside its municipal</w:t>
      </w:r>
      <w:r>
        <w:t xml:space="preserve"> </w:t>
      </w:r>
      <w:r>
        <w:t xml:space="preserve">boundary (2012 census) and nearly 389,000 commuters entering on a typical weekday (World Bank,</w:t>
      </w:r>
      <w:r>
        <w:t xml:space="preserve"> </w:t>
      </w:r>
      <w:r>
        <w:t xml:space="preserve">2020), so that most of those exposed to its air during the day do not live in it. It has no</w:t>
      </w:r>
      <w:r>
        <w:t xml:space="preserve"> </w:t>
      </w:r>
      <w:r>
        <w:t xml:space="preserve">reference-grade PM2.5 monitor in operation and two low-cost sensors with public records. Any PM2.5</w:t>
      </w:r>
      <w:r>
        <w:t xml:space="preserve"> </w:t>
      </w:r>
      <w:r>
        <w:t xml:space="preserve">field for Kandy is therefore a model output that almost no local observation can evaluate.</w:t>
      </w:r>
    </w:p>
    <w:bookmarkEnd w:id="9"/>
    <w:bookmarkStart w:id="10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reconstruct PM2.5 over the Kandy basin at hourly and one-kilometre resolution for 2019 to 2023</w:t>
      </w:r>
      <w:r>
        <w:t xml:space="preserve"> </w:t>
      </w:r>
      <w:r>
        <w:t xml:space="preserve">from data available everywhere; to establish how far each part of that reconstruction can be</w:t>
      </w:r>
      <w:r>
        <w:t xml:space="preserve"> </w:t>
      </w:r>
      <w:r>
        <w:t xml:space="preserve">trusted; to determine the spatial scale below which it is no longer supported; and to identify the</w:t>
      </w:r>
      <w:r>
        <w:t xml:space="preserve"> </w:t>
      </w:r>
      <w:r>
        <w:t xml:space="preserve">measurements that would most improve it.</w:t>
      </w:r>
    </w:p>
    <w:bookmarkEnd w:id="10"/>
    <w:bookmarkStart w:id="11" w:name="the-model"/>
    <w:p>
      <w:pPr>
        <w:pStyle w:val="Heading2"/>
      </w:pPr>
      <w:r>
        <w:t xml:space="preserve">The model</w:t>
      </w:r>
    </w:p>
    <w:p>
      <w:pPr>
        <w:pStyle w:val="FirstParagraph"/>
      </w:pPr>
      <w:r>
        <w:t xml:space="preserve">Concentration on the kilometre grid is a regional background, uniform across the city at any hour,</w:t>
      </w:r>
      <w:r>
        <w:t xml:space="preserve"> </w:t>
      </w:r>
      <w:r>
        <w:t xml:space="preserve">plus a local increment redistributed by a pattern of unit spatial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T</m:t>
        </m:r>
      </m:oMath>
      <w:r>
        <w:t xml:space="preserve">, the basin-mean concentration, is a gradient-boosted model of the residual between the two local</w:t>
      </w:r>
      <w:r>
        <w:t xml:space="preserve"> </w:t>
      </w:r>
      <w:r>
        <w:t xml:space="preserve">sensors and a composition-model prior, driven by reanalysis meteorology and satellite retrievals,</w:t>
      </w:r>
      <w:r>
        <w:t xml:space="preserve"> </w:t>
      </w:r>
      <w:r>
        <w:t xml:space="preserve">shifted each year to a satellite-derived area mean and shaped to the sensors’ daily and seasonal</w:t>
      </w:r>
      <w:r>
        <w:t xml:space="preserve"> </w:t>
      </w:r>
      <w:r>
        <w:t xml:space="preserve">cycles.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regional-background estimate built from the same satellite level, the composition</w:t>
      </w:r>
      <w:r>
        <w:t xml:space="preserve"> </w:t>
      </w:r>
      <w:r>
        <w:t xml:space="preserve">model and an air-mass classification, capped so that it never reaches the hourly total.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combines</w:t>
      </w:r>
      <w:r>
        <w:t xml:space="preserve"> </w:t>
      </w:r>
      <w:r>
        <w:t xml:space="preserve">a satellite surface with a terrain-confinement term; a terrain-steered dispersion step was removed</w:t>
      </w:r>
      <w:r>
        <w:t xml:space="preserve"> </w:t>
      </w:r>
      <w:r>
        <w:t xml:space="preserve">after it lowered agreement with held-out stations. The field averages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(to within 0.0</w:t>
      </w:r>
      <w:r>
        <w:t xml:space="preserve"> </w:t>
      </w:r>
      <w:r>
        <w:t xml:space="preserve">per cent in practice), so misplacing material cannot create more of it, and each component declares</w:t>
      </w:r>
      <w:r>
        <w:t xml:space="preserve"> </w:t>
      </w:r>
      <w:r>
        <w:t xml:space="preserve">which observations it may use. The local increment is a residual of this decomposition, not the mass</w:t>
      </w:r>
      <w:r>
        <w:t xml:space="preserve"> </w:t>
      </w:r>
      <w:r>
        <w:t xml:space="preserve">emitted inside the city.</w:t>
      </w:r>
    </w:p>
    <w:bookmarkEnd w:id="11"/>
    <w:bookmarkStart w:id="12" w:name="validation-without-local-ground-truth"/>
    <w:p>
      <w:pPr>
        <w:pStyle w:val="Heading2"/>
      </w:pPr>
      <w:r>
        <w:t xml:space="preserve">Validation without local ground truth</w:t>
      </w:r>
    </w:p>
    <w:p>
      <w:pPr>
        <w:pStyle w:val="FirstParagraph"/>
      </w:pPr>
      <w:r>
        <w:t xml:space="preserve">The two Kandy sensors trained and shaped</w:t>
      </w:r>
      <w:r>
        <w:t xml:space="preserve"> </w:t>
      </w:r>
      <m:oMath>
        <m:r>
          <m:t>T</m:t>
        </m:r>
      </m:oMath>
      <w:r>
        <w:t xml:space="preserve">, so they cannot validate it. Three other lines of</w:t>
      </w:r>
      <w:r>
        <w:t xml:space="preserve"> </w:t>
      </w:r>
      <w:r>
        <w:t xml:space="preserve">evidence are used, and their results are graded rather than combined. The complete model was built</w:t>
      </w:r>
      <w:r>
        <w:t xml:space="preserve"> </w:t>
      </w:r>
      <w:r>
        <w:t xml:space="preserve">in ten monitored valley and basin cities with only two anchor stations, as at Kandy, and scored</w:t>
      </w:r>
      <w:r>
        <w:t xml:space="preserve"> </w:t>
      </w:r>
      <w:r>
        <w:t xml:space="preserve">against withheld stations: the seasonal cycle transfers everywhere (correlation</w:t>
      </w:r>
      <w:r>
        <w:t xml:space="preserve"> </w:t>
      </w:r>
      <w:r>
        <w:t xml:space="preserve">0.943 to 0.996), the daily cycle unevenly</w:t>
      </w:r>
      <w:r>
        <w:t xml:space="preserve"> </w:t>
      </w:r>
      <w:r>
        <w:t xml:space="preserve">(-0.325 to 0.977). The deployed temporal model</w:t>
      </w:r>
      <w:r>
        <w:t xml:space="preserve"> </w:t>
      </w:r>
      <w:r>
        <w:t xml:space="preserve">was placed on a cross-city ladder of information budgets in 104 cities</w:t>
      </w:r>
      <w:r>
        <w:t xml:space="preserve"> </w:t>
      </w:r>
      <w:r>
        <w:t xml:space="preserve">(exploratory, specified before scoring): where its anchor stations observed the period it cut daily</w:t>
      </w:r>
      <w:r>
        <w:t xml:space="preserve"> </w:t>
      </w:r>
      <w:r>
        <w:t xml:space="preserve">error by 32.7 per cent against a generic sensorless estimate</w:t>
      </w:r>
      <w:r>
        <w:t xml:space="preserve"> </w:t>
      </w:r>
      <w:r>
        <w:t xml:space="preserve">(correlation 0.864); where they did not, by</w:t>
      </w:r>
      <w:r>
        <w:t xml:space="preserve"> </w:t>
      </w:r>
      <w:r>
        <w:t xml:space="preserve">4.83 per cent, not distinguishable from zero. Its</w:t>
      </w:r>
      <w:r>
        <w:t xml:space="preserve"> </w:t>
      </w:r>
      <w:r>
        <w:t xml:space="preserve">satellite-derived level sat 7.87 per cent above the withheld city</w:t>
      </w:r>
      <w:r>
        <w:t xml:space="preserve"> </w:t>
      </w:r>
      <w:r>
        <w:t xml:space="preserve">means and its nominal 90 per cent interval covered a fraction</w:t>
      </w:r>
      <w:r>
        <w:t xml:space="preserve"> </w:t>
      </w:r>
      <w:r>
        <w:t xml:space="preserve">0.696. At Kandy the national research organisation’s daily record for 2021 and 2022,</w:t>
      </w:r>
      <w:r>
        <w:t xml:space="preserve"> </w:t>
      </w:r>
      <w:r>
        <w:t xml:space="preserve">recovered from a published figure, matches the field’s seasonal shape (correlation</w:t>
      </w:r>
      <w:r>
        <w:t xml:space="preserve"> </w:t>
      </w:r>
      <w:r>
        <w:t xml:space="preserve">0.767 across calendar months) but not its day-to-day variation (within-month</w:t>
      </w:r>
      <w:r>
        <w:t xml:space="preserve"> </w:t>
      </w:r>
      <w:r>
        <w:t xml:space="preserve">correlation 0.285), and the field misses the crisis year 2022. Trained on one</w:t>
      </w:r>
      <w:r>
        <w:t xml:space="preserve"> </w:t>
      </w:r>
      <w:r>
        <w:t xml:space="preserve">Kandy sensor, the temporal model tracks the other at a daily correlation of</w:t>
      </w:r>
      <w:r>
        <w:t xml:space="preserve"> </w:t>
      </w:r>
      <w:r>
        <w:t xml:space="preserve">0.521 and 0.615. Against the regulatory</w:t>
      </w:r>
      <w:r>
        <w:t xml:space="preserve"> </w:t>
      </w:r>
      <w:r>
        <w:t xml:space="preserve">station in Kandy city, whose public record covers 858 days of 2019 to 2023, the field’s</w:t>
      </w:r>
      <w:r>
        <w:t xml:space="preserve"> </w:t>
      </w:r>
      <w:r>
        <w:t xml:space="preserve">daily correlation is 0.6 (0.72 within the month).</w:t>
      </w:r>
    </w:p>
    <w:bookmarkEnd w:id="12"/>
    <w:bookmarkStart w:id="13" w:name="Xbb4e53da2153c15b85ff23c186a3bd0e52447e4"/>
    <w:p>
      <w:pPr>
        <w:pStyle w:val="Heading2"/>
      </w:pPr>
      <w:r>
        <w:t xml:space="preserve">The reconstructed field, and how far it can be trusted</w:t>
      </w:r>
    </w:p>
    <w:p>
      <w:pPr>
        <w:pStyle w:val="FirstParagraph"/>
      </w:pPr>
      <w:r>
        <w:t xml:space="preserve">The modelled annual basin mean is 13.6 to 16.8 micrograms per</w:t>
      </w:r>
      <w:r>
        <w:t xml:space="preserve"> </w:t>
      </w:r>
      <w:r>
        <w:t xml:space="preserve">cubic metre over 2019 to 2023, above the World Health Organization guideline of 5 in every year.</w:t>
      </w:r>
      <w:r>
        <w:t xml:space="preserve"> </w:t>
      </w:r>
      <w:r>
        <w:t xml:space="preserve">Taken from the satellite surface the level read 24 per cent above the</w:t>
      </w:r>
      <w:r>
        <w:t xml:space="preserve"> </w:t>
      </w:r>
      <w:r>
        <w:t xml:space="preserve">regulatory station; the corrected low-cost record is within -5 per cent of the</w:t>
      </w:r>
      <w:r>
        <w:t xml:space="preserve"> </w:t>
      </w:r>
      <w:r>
        <w:t xml:space="preserve">station, so the excess lies in the satellite level. The delivered level is re-anchored to the station</w:t>
      </w:r>
      <w:r>
        <w:t xml:space="preserve"> </w:t>
      </w:r>
      <w:r>
        <w:t xml:space="preserve">by a factor of 0.8 fitted on 2019 to mid-2021; on the held-out 2022 and 2023 days</w:t>
      </w:r>
      <w:r>
        <w:t xml:space="preserve"> </w:t>
      </w:r>
      <w:r>
        <w:t xml:space="preserve">it is within -1 per cent of the station (satellite level</w:t>
      </w:r>
      <w:r>
        <w:t xml:space="preserve"> </w:t>
      </w:r>
      <w:r>
        <w:t xml:space="preserve">24 per cent), over only 11 months. The exceedance is</w:t>
      </w:r>
      <w:r>
        <w:t xml:space="preserve"> </w:t>
      </w:r>
      <w:r>
        <w:t xml:space="preserve">robust: the annual means stay at least 2.4 times the guideline across the factor’s</w:t>
      </w:r>
      <w:r>
        <w:t xml:space="preserve"> </w:t>
      </w:r>
      <w:r>
        <w:t xml:space="preserve">interval. The seasonal cycle is the best-supported property, with the maximum in the</w:t>
      </w:r>
      <w:r>
        <w:t xml:space="preserve"> </w:t>
      </w:r>
      <w:r>
        <w:t xml:space="preserve">north-east monsoon (24.2 in December to February of 2023) and</w:t>
      </w:r>
      <w:r>
        <w:t xml:space="preserve"> </w:t>
      </w:r>
      <w:r>
        <w:t xml:space="preserve">the minimum in the south-west monsoon (9.4). The day-to-day sequence is</w:t>
      </w:r>
      <w:r>
        <w:t xml:space="preserve"> </w:t>
      </w:r>
      <w:r>
        <w:t xml:space="preserve">supported on days the sensors reported. Morning and evening peaks either side of a midday dip are</w:t>
      </w:r>
      <w:r>
        <w:t xml:space="preserve"> </w:t>
      </w:r>
      <w:r>
        <w:t xml:space="preserve">robust in timing, but their depth depends on the humidity correction of the sensor record: with</w:t>
      </w:r>
      <w:r>
        <w:t xml:space="preserve"> </w:t>
      </w:r>
      <w:r>
        <w:t xml:space="preserve">hourly rather than constant humidity the morning-peak-to-midday ratio falls from</w:t>
      </w:r>
      <w:r>
        <w:t xml:space="preserve"> </w:t>
      </w:r>
      <w:r>
        <w:t xml:space="preserve">1.93 to 1.68 and the night falls below</w:t>
      </w:r>
      <w:r>
        <w:t xml:space="preserve"> </w:t>
      </w:r>
      <w:r>
        <w:t xml:space="preserve">midday, while the level, the daily sequence and the local fraction barely move. The regulatory</w:t>
      </w:r>
      <w:r>
        <w:t xml:space="preserve"> </w:t>
      </w:r>
      <w:r>
        <w:t xml:space="preserve">station’s hourly record has the same timing and a morning peak like the delivered field’s, but its</w:t>
      </w:r>
      <w:r>
        <w:t xml:space="preserve"> </w:t>
      </w:r>
      <w:r>
        <w:t xml:space="preserve">deep night is the daily minimum (0.71 of midday), so the</w:t>
      </w:r>
      <w:r>
        <w:t xml:space="preserve"> </w:t>
      </w:r>
      <w:r>
        <w:t xml:space="preserve">field’s nights are too high. The interval covers</w:t>
      </w:r>
      <w:r>
        <w:t xml:space="preserve"> </w:t>
      </w:r>
      <w:r>
        <w:t xml:space="preserve">77.3 per cent of sensor hours with misses almost all on one side, which points to a</w:t>
      </w:r>
      <w:r>
        <w:t xml:space="preserve"> </w:t>
      </w:r>
      <w:r>
        <w:t xml:space="preserve">calibration bias at the sensors rather than proving the width right. Under the baseline decomposition</w:t>
      </w:r>
      <w:r>
        <w:t xml:space="preserve"> </w:t>
      </w:r>
      <w:r>
        <w:t xml:space="preserve">the local increment is 0.479 of the modelled total, 0.428 to</w:t>
      </w:r>
      <w:r>
        <w:t xml:space="preserve"> </w:t>
      </w:r>
      <w:r>
        <w:t xml:space="preserve">0.489 across the tested ways of applying the cap and 0.521</w:t>
      </w:r>
      <w:r>
        <w:t xml:space="preserve"> </w:t>
      </w:r>
      <w:r>
        <w:t xml:space="preserve">with a 48-hour background window: a property of the decomposition, not a source apportionment.</w:t>
      </w:r>
    </w:p>
    <w:bookmarkEnd w:id="13"/>
    <w:bookmarkStart w:id="14" w:name="X5d515e2a65117921b46fc40e11b53429a0f5d6a"/>
    <w:p>
      <w:pPr>
        <w:pStyle w:val="Heading2"/>
      </w:pPr>
      <w:r>
        <w:t xml:space="preserve">What each additional observation is worth</w:t>
      </w:r>
    </w:p>
    <w:p>
      <w:pPr>
        <w:pStyle w:val="FirstParagraph"/>
      </w:pPr>
      <w:r>
        <w:t xml:space="preserve">Because every component declares its inputs, an observation can be withheld and the loss measured</w:t>
      </w:r>
      <w:r>
        <w:t xml:space="preserve"> </w:t>
      </w:r>
      <w:r>
        <w:t xml:space="preserve">across monitored cities. A registered confirmation on 72 fresh cities found</w:t>
      </w:r>
      <w:r>
        <w:t xml:space="preserve"> </w:t>
      </w:r>
      <w:r>
        <w:t xml:space="preserve">two stations used only to recalibrate a free estimate worth 8.53</w:t>
      </w:r>
      <w:r>
        <w:t xml:space="preserve"> </w:t>
      </w:r>
      <w:r>
        <w:t xml:space="preserve">per cent and a background series read daily worth 41.1 per cent. A</w:t>
      </w:r>
      <w:r>
        <w:t xml:space="preserve"> </w:t>
      </w:r>
      <w:r>
        <w:t xml:space="preserve">later review showed the comparison was not like for like. In a post hoc re-analysis that used every</w:t>
      </w:r>
      <w:r>
        <w:t xml:space="preserve"> </w:t>
      </w:r>
      <w:r>
        <w:t xml:space="preserve">source on the day, one station read daily reduced daily error by 42.1 per</w:t>
      </w:r>
      <w:r>
        <w:t xml:space="preserve"> </w:t>
      </w:r>
      <w:r>
        <w:t xml:space="preserve">cent, two by 53.3 and five by 58.4, against</w:t>
      </w:r>
      <w:r>
        <w:t xml:space="preserve"> </w:t>
      </w:r>
      <w:r>
        <w:t xml:space="preserve">about 11.0 per cent for stations used only as a calibration, and no</w:t>
      </w:r>
      <w:r>
        <w:t xml:space="preserve"> </w:t>
      </w:r>
      <w:r>
        <w:t xml:space="preserve">ordering of station types was established. For Kandy the priority is continuously reporting stations</w:t>
      </w:r>
      <w:r>
        <w:t xml:space="preserve"> </w:t>
      </w:r>
      <w:r>
        <w:t xml:space="preserve">whose readings reach the estimate every day, with one of reference grade to settle the level and the</w:t>
      </w:r>
      <w:r>
        <w:t xml:space="preserve"> </w:t>
      </w:r>
      <w:r>
        <w:t xml:space="preserve">humidity correction.</w:t>
      </w:r>
    </w:p>
    <w:bookmarkEnd w:id="14"/>
    <w:bookmarkStart w:id="15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field is not supported below the kilometre scale. Two sites three hundred metres apart inside one</w:t>
      </w:r>
      <w:r>
        <w:t xml:space="preserve"> </w:t>
      </w:r>
      <w:r>
        <w:t xml:space="preserve">model cell differ in measured PM10 by a factor of 27.5, though on</w:t>
      </w:r>
      <w:r>
        <w:t xml:space="preserve"> </w:t>
      </w:r>
      <w:r>
        <w:t xml:space="preserve">different days, so the pair illustrates sub-grid variation without isolating location; on densely</w:t>
      </w:r>
      <w:r>
        <w:t xml:space="preserve"> </w:t>
      </w:r>
      <w:r>
        <w:t xml:space="preserve">monitored cities the spread inside a cell (1.21) exceeds the spread</w:t>
      </w:r>
      <w:r>
        <w:t xml:space="preserve"> </w:t>
      </w:r>
      <w:r>
        <w:t xml:space="preserve">between cells (1.04). A dispersion step meant to place the local</w:t>
      </w:r>
      <w:r>
        <w:t xml:space="preserve"> </w:t>
      </w:r>
      <w:r>
        <w:t xml:space="preserve">increment ranked held-out stations at 0.274, below the undispersed surface</w:t>
      </w:r>
      <w:r>
        <w:t xml:space="preserve"> </w:t>
      </w:r>
      <w:r>
        <w:t xml:space="preserve">(0.371) and a free built-up layer (0.393), and was removed; three to eight</w:t>
      </w:r>
      <w:r>
        <w:t xml:space="preserve"> </w:t>
      </w:r>
      <w:r>
        <w:t xml:space="preserve">stations do not rank neighbourhoods usefully either.</w:t>
      </w:r>
      <w:r>
        <w:t xml:space="preserve"> </w:t>
      </w:r>
      <w:r>
        <w:t xml:space="preserve">The map is a hypothesis for testing, not a ranking of neighbourhoods. The chemical check is a</w:t>
      </w:r>
      <w:r>
        <w:t xml:space="preserve"> </w:t>
      </w:r>
      <w:r>
        <w:t xml:space="preserve">consistency check within a composition model, not a chemical measurement at Kandy.</w:t>
      </w:r>
    </w:p>
    <w:bookmarkEnd w:id="15"/>
    <w:bookmarkStart w:id="16" w:name="ongoing-work-and-verification"/>
    <w:p>
      <w:pPr>
        <w:pStyle w:val="Heading2"/>
      </w:pPr>
      <w:r>
        <w:t xml:space="preserve">Ongoing work and verification</w:t>
      </w:r>
    </w:p>
    <w:p>
      <w:pPr>
        <w:pStyle w:val="FirstParagraph"/>
      </w:pPr>
      <w:r>
        <w:t xml:space="preserve">A formal agreement for the regulatory record, and co-locating the low-cost sensors with it, would</w:t>
      </w:r>
      <w:r>
        <w:t xml:space="preserve"> </w:t>
      </w:r>
      <w:r>
        <w:t xml:space="preserve">fix the size of the level excess and show where the sensor record’s nights go wrong. A fresh pre-registered</w:t>
      </w:r>
      <w:r>
        <w:t xml:space="preserve"> </w:t>
      </w:r>
      <w:r>
        <w:t xml:space="preserve">like-for-like test and an independent reproduction are the next steps for the cross-city results.</w:t>
      </w:r>
      <w:r>
        <w:t xml:space="preserve"> </w:t>
      </w:r>
      <w:r>
        <w:t xml:space="preserve">Every value in the report is regenerated from source at build time by a gate that refuses to build</w:t>
      </w:r>
      <w:r>
        <w:t xml:space="preserve"> </w:t>
      </w:r>
      <w:r>
        <w:t xml:space="preserve">when prose and data disagree (github.com/daminda1108/kandy_pm2.5_framework);</w:t>
      </w:r>
      <w:r>
        <w:t xml:space="preserve"> </w:t>
      </w:r>
      <w:r>
        <w:t xml:space="preserve">twenty-three of 105 registered predictions were refuted and are reported as such.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11daminda08@gmail.com · s20005@sci.pdn.ac.lk</w:t>
      </w:r>
    </w:p>
    <w:bookmarkEnd w:id="16"/>
    <w:sectPr>
      <w:footnotePr>
        <w:numRestart w:val="eachSect"/>
      </w:footnotePr>
      <w:pgSz w:h="16838" w:w="11906"/>
      <w:pgMar w:bottom="1800" w:footer="709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jc w:val="both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20" w:before="36" w:line="240" w:lineRule="auto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line="240" w:lineRule="auto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0" w:line="240" w:lineRule="auto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after="120" w:before="280" w:line="240" w:lineRule="auto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after="120" w:before="240" w:line="240" w:lineRule="auto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after="80" w:before="200" w:line="240" w:lineRule="auto"/>
      <w:jc w:val="left"/>
      <w:outlineLvl w:val="3"/>
    </w:pPr>
    <w:rPr>
      <w:rFonts w:ascii="Times New Roman" w:cs="Times New Roman" w:eastAsia="Times New Roman" w:hAnsi="Times New Roman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spacing w:after="80" w:before="200" w:line="240" w:lineRule="auto"/>
      <w:jc w:val="left"/>
      <w:outlineLvl w:val="4"/>
    </w:pPr>
    <w:rPr>
      <w:rFonts w:ascii="Times New Roman" w:cs="Times New Roman" w:eastAsia="Times New Roman" w:hAnsi="Times New Roman"/>
      <w:b/>
      <w:i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40" w:lineRule="auto"/>
      <w:ind w:firstLine="0" w:left="480" w:right="480"/>
      <w:jc w:val="both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b w:val="0"/>
      <w:i w:val="0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0" w:line="240" w:lineRule="auto"/>
      <w:jc w:val="center"/>
    </w:pPr>
    <w:rPr>
      <w:rFonts w:ascii="Times New Roman" w:cs="Times New Roman" w:eastAsia="Times New Roman" w:hAnsi="Times New Roman"/>
      <w:b w:val="0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after="200" w:line="240" w:lineRule="auto"/>
      <w:jc w:val="center"/>
    </w:pPr>
    <w:rPr>
      <w:rFonts w:ascii="Times New Roman" w:cs="Times New Roman" w:eastAsia="Times New Roman" w:hAnsi="Times New Roman"/>
      <w:b w:val="0"/>
      <w:i/>
      <w:color w:val="000000"/>
      <w:sz w:val="24"/>
    </w:rPr>
  </w:style>
  <w:style w:customStyle="1" w:styleId="ImageCaption" w:type="paragraph">
    <w:name w:val="Image Caption"/>
    <w:basedOn w:val="Caption"/>
    <w:pPr>
      <w:spacing w:after="200" w:line="240" w:lineRule="auto"/>
      <w:jc w:val="center"/>
    </w:pPr>
    <w:rPr>
      <w:rFonts w:ascii="Times New Roman" w:cs="Times New Roman" w:eastAsia="Times New Roman" w:hAnsi="Times New Roman"/>
      <w:b w:val="0"/>
      <w:i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FrontHeading" w:type="paragraph">
    <w:name w:val="Front Heading"/>
    <w:basedOn w:val="Normal"/>
    <w:pPr>
      <w:keepNext/>
      <w:pageBreakBefore/>
      <w:spacing w:after="36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color w:val="000000"/>
      <w:sz w:val="28"/>
    </w:rPr>
  </w:style>
  <w:style w:customStyle="1" w:styleId="AbstractText" w:type="paragraph">
    <w:name w:val="Abstract Text"/>
    <w:basedOn w:val="Normal"/>
    <w:pPr>
      <w:pageBreakBefore w:val="0"/>
      <w:spacing w:after="120" w:before="0" w:line="240" w:lineRule="auto"/>
      <w:ind w:firstLine="0"/>
      <w:jc w:val="both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Marker" w:type="paragraph">
    <w:name w:val="Marker"/>
    <w:basedOn w:val="Normal"/>
    <w:pPr>
      <w:pageBreakBefore w:val="0"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4"/>
    </w:rPr>
  </w:style>
  <w:style w:customStyle="1" w:styleId="TitlePageTitle" w:type="paragraph">
    <w:name w:val="Title Page Title"/>
    <w:basedOn w:val="Normal"/>
    <w:pPr>
      <w:pageBreakBefore w:val="0"/>
      <w:spacing w:after="72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color w:val="000000"/>
      <w:sz w:val="28"/>
    </w:rPr>
  </w:style>
  <w:style w:customStyle="1" w:styleId="TitlePageText" w:type="paragraph">
    <w:name w:val="Title Page Text"/>
    <w:basedOn w:val="Normal"/>
    <w:pPr>
      <w:pageBreakBefore w:val="0"/>
      <w:spacing w:after="12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TitlePageName" w:type="paragraph">
    <w:name w:val="Title Page Name"/>
    <w:basedOn w:val="Normal"/>
    <w:pPr>
      <w:pageBreakBefore w:val="0"/>
      <w:spacing w:after="12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customStyle="1" w:styleId="TitlePageBold" w:type="paragraph">
    <w:name w:val="Title Page Bold"/>
    <w:basedOn w:val="Normal"/>
    <w:pPr>
      <w:pageBreakBefore w:val="0"/>
      <w:spacing w:after="12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hourly kilometre-scale fine particulate matter reconstruction for Kandy, Sri Lanka: construction, evaluation under sparse local monitoring, and measurement priorities</dc:title>
  <dc:creator>A. M. D. W. B. Alahakoon, Department of Environmental and Industrial Sciences, University of Peradeniya, Sri Lanka</dc:creator>
  <cp:keywords/>
  <dcterms:created xsi:type="dcterms:W3CDTF">2026-10-11T11:32:22Z</dcterms:created>
  <dcterms:modified xsi:type="dcterms:W3CDTF">2026-10-11T11:32:22Z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False</vt:lpwstr>
  </property>
  <property fmtid="{D5CDD505-2E9C-101B-9397-08002B2CF9AE}" pid="3" name="date">
    <vt:lpwstr>2026</vt:lpwstr>
  </property>
  <property fmtid="{D5CDD505-2E9C-101B-9397-08002B2CF9AE}" pid="4" name="fontsize">
    <vt:lpwstr>12pt</vt:lpwstr>
  </property>
  <property fmtid="{D5CDD505-2E9C-101B-9397-08002B2CF9AE}" pid="5" name="geometry">
    <vt:lpwstr>margin=1.0cm</vt:lpwstr>
  </property>
  <property fmtid="{D5CDD505-2E9C-101B-9397-08002B2CF9AE}" pid="6" name="header-includes">
    <vt:lpwstr/>
  </property>
  <property fmtid="{D5CDD505-2E9C-101B-9397-08002B2CF9AE}" pid="7" name="mainfont">
    <vt:lpwstr>Times New Roman</vt:lpwstr>
  </property>
  <property fmtid="{D5CDD505-2E9C-101B-9397-08002B2CF9AE}" pid="8" name="monofont">
    <vt:lpwstr>Times New Roman</vt:lpwstr>
  </property>
  <property fmtid="{D5CDD505-2E9C-101B-9397-08002B2CF9AE}" pid="9" name="sansfont">
    <vt:lpwstr>Times New Roman</vt:lpwstr>
  </property>
</Properties>
</file>