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59,514 words, 33 figures and 18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carries everywhere (correlation</w:t>
      </w:r>
      <w:r>
        <w:t xml:space="preserve"> </w:t>
      </w:r>
      <w:r>
        <w:t xml:space="preserve">0.943 to 0.996), though no better than the two anchor stations’</w:t>
      </w:r>
      <w:r>
        <w:t xml:space="preserve"> </w:t>
      </w:r>
      <w:r>
        <w:t xml:space="preserve">own climatology (0.986), and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0.538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an urban-increment lower bound gives 0.36 and a combustion-tracer estimate, not an upper bound,</w:t>
      </w:r>
      <w:r>
        <w:t xml:space="preserve"> </w:t>
      </w:r>
      <w:r>
        <w:t xml:space="preserve">0.53; the model is broadly consistent with the latter and may be high against the former.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 and collects observations able to</w:t>
      </w:r>
      <w:r>
        <w:t xml:space="preserve"> </w:t>
      </w:r>
      <w:r>
        <w:t xml:space="preserve">refute it: the regulatory record’s provenance; low-cost sensors evaluated against the reference over two monsoons; a</w:t>
      </w:r>
      <w:r>
        <w:t xml:space="preserve"> </w:t>
      </w:r>
      <w:r>
        <w:t xml:space="preserve">network whose level, within-cell, drainage and daily-cycle tests are powered to give an answer; and a rural</w:t>
      </w:r>
      <w:r>
        <w:t xml:space="preserve"> </w:t>
      </w:r>
      <w:r>
        <w:t xml:space="preserve">background reference with composition measurement.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2026-10-11T17:49:24Z</dcterms:created>
  <dcterms:modified xsi:type="dcterms:W3CDTF">2026-10-11T17:49:24Z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