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50,922 words, 33 figures and 13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surface, a terrain-confinement term and a road-traffic emission surface carried through a</w:t>
      </w:r>
      <w:r>
        <w:t xml:space="preserve"> </w:t>
      </w:r>
      <w:r>
        <w:t xml:space="preserve">terrain-steered dispersion step.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0.56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an independent national record differs from the</w:t>
      </w:r>
      <w:r>
        <w:t xml:space="preserve"> </w:t>
      </w:r>
      <w:r>
        <w:t xml:space="preserve">field by 0.7 and -2.6 per cent in two years, while</w:t>
      </w:r>
      <w:r>
        <w:t xml:space="preserve"> </w:t>
      </w:r>
      <w:r>
        <w:t xml:space="preserve">three low-cost records sit below it.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17.1 to 21.0 micrograms per</w:t>
      </w:r>
      <w:r>
        <w:t xml:space="preserve"> </w:t>
      </w:r>
      <w:r>
        <w:t xml:space="preserve">cubic metre over 2019 to 2023, above the World Health Organization guideline of 5 in every year;</w:t>
      </w:r>
      <w:r>
        <w:t xml:space="preserve"> </w:t>
      </w:r>
      <w:r>
        <w:t xml:space="preserve">because the absolute level is unresolved, this describes the modelled field rather than an</w:t>
      </w:r>
      <w:r>
        <w:t xml:space="preserve"> </w:t>
      </w:r>
      <w:r>
        <w:t xml:space="preserve">established exposure. The seasonal cycle is the best-supported property, with the maximum in the</w:t>
      </w:r>
      <w:r>
        <w:t xml:space="preserve"> </w:t>
      </w:r>
      <w:r>
        <w:t xml:space="preserve">north-east monsoon (30.2 in December to February of 2023) and</w:t>
      </w:r>
      <w:r>
        <w:t xml:space="preserve"> </w:t>
      </w:r>
      <w:r>
        <w:t xml:space="preserve">the minimum in the south-west monsoon (11.7).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interval covers</w:t>
      </w:r>
      <w:r>
        <w:t xml:space="preserve"> </w:t>
      </w:r>
      <w:r>
        <w:t xml:space="preserve">72.4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0.547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(1.22) exceeds the spread</w:t>
      </w:r>
      <w:r>
        <w:t xml:space="preserve"> </w:t>
      </w:r>
      <w:r>
        <w:t xml:space="preserve">between cells (1.05). The dispersion step meant to place the local</w:t>
      </w:r>
      <w:r>
        <w:t xml:space="preserve"> </w:t>
      </w:r>
      <w:r>
        <w:t xml:space="preserve">increment ranks held-out stations at 0.274, below the undispersed surface</w:t>
      </w:r>
      <w:r>
        <w:t xml:space="preserve"> </w:t>
      </w:r>
      <w:r>
        <w:t xml:space="preserve">(0.371) and a free built-up layer (0.393), so it is a declared choice,</w:t>
      </w:r>
      <w:r>
        <w:t xml:space="preserve"> </w:t>
      </w:r>
      <w:r>
        <w:t xml:space="preserve">not a validated improvement, and three to eight 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regulatory monitor at Kandy, once its record is released, will allow the level, the humidity</w:t>
      </w:r>
      <w:r>
        <w:t xml:space="preserve"> </w:t>
      </w:r>
      <w:r>
        <w:t xml:space="preserve">correction and the daily shape to be checked against a reference instrument.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2026-10-10T15:59:34Z</dcterms:created>
  <dcterms:modified xsi:type="dcterms:W3CDTF">2026-10-10T15:59:34Z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