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 hourly kilometre-scale fine particulate matter reconstruction for Kandy, Sri Lanka: construction, validation without local ground truth, and measurement priorities</w:t>
      </w:r>
    </w:p>
    <w:p>
      <w:pPr>
        <w:pStyle w:val="Author"/>
      </w:pPr>
      <w:r>
        <w:t xml:space="preserve">A. M. D. W. B. Alahakoon, Department of Environmental and Industrial Sciences, University of Peradeniya, Sri Lanka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Undergraduate research project report (ENS4998), 2026.</w:t>
      </w:r>
      <w:r>
        <w:t xml:space="preserve"> </w:t>
      </w:r>
      <w:r>
        <w:t xml:space="preserve">The report runs to</w:t>
      </w:r>
      <w:r>
        <w:t xml:space="preserve"> </w:t>
      </w:r>
      <w:r>
        <w:t xml:space="preserve">53,649 words, 40 figures and 9 tables, and</w:t>
      </w:r>
      <w:r>
        <w:t xml:space="preserve"> </w:t>
      </w:r>
      <w:r>
        <w:t xml:space="preserve">rests on seventeen pre-registrations lodged before the analyses they cover.</w:t>
      </w:r>
    </w:p>
    <w:bookmarkStart w:id="9" w:name="the-problem"/>
    <w:p>
      <w:pPr>
        <w:pStyle w:val="Heading2"/>
      </w:pPr>
      <w:r>
        <w:t xml:space="preserve">The problem</w:t>
      </w:r>
    </w:p>
    <w:p>
      <w:pPr>
        <w:pStyle w:val="FirstParagraph"/>
      </w:pPr>
      <w:r>
        <w:t xml:space="preserve">Fine particulate matter (PM2.5) carries the largest estimated burden of disease of any air</w:t>
      </w:r>
      <w:r>
        <w:t xml:space="preserve"> </w:t>
      </w:r>
      <w:r>
        <w:t xml:space="preserve">pollutant, and monitoring is sparsest where concentrations are highest. Kandy is such a city: a</w:t>
      </w:r>
      <w:r>
        <w:t xml:space="preserve"> </w:t>
      </w:r>
      <w:r>
        <w:t xml:space="preserve">valley settlement in the central highlands of Sri Lanka with 98,828 residents inside its municipal</w:t>
      </w:r>
      <w:r>
        <w:t xml:space="preserve"> </w:t>
      </w:r>
      <w:r>
        <w:t xml:space="preserve">boundary (2012 census) and nearly 389,000 commuters entering on a typical weekday (World Bank,</w:t>
      </w:r>
      <w:r>
        <w:t xml:space="preserve"> </w:t>
      </w:r>
      <w:r>
        <w:t xml:space="preserve">2020), so that most of those exposed to its air during the day do not live in it. It has no</w:t>
      </w:r>
      <w:r>
        <w:t xml:space="preserve"> </w:t>
      </w:r>
      <w:r>
        <w:t xml:space="preserve">reference-grade PM2.5 monitor in operation and two low-cost sensors with public records. Estimating</w:t>
      </w:r>
      <w:r>
        <w:t xml:space="preserve"> </w:t>
      </w:r>
      <w:r>
        <w:t xml:space="preserve">surface PM2.5 where it is not measured is harder than estimating the meteorological state: the</w:t>
      </w:r>
      <w:r>
        <w:t xml:space="preserve"> </w:t>
      </w:r>
      <w:r>
        <w:t xml:space="preserve">observing network is thin, emissions are poorly quantified and independent inventories disagree,</w:t>
      </w:r>
      <w:r>
        <w:t xml:space="preserve"> </w:t>
      </w:r>
      <w:r>
        <w:t xml:space="preserve">and a substantial fraction of the mass forms in the atmosphere rather than being emitted. Any PM2.5</w:t>
      </w:r>
      <w:r>
        <w:t xml:space="preserve"> </w:t>
      </w:r>
      <w:r>
        <w:t xml:space="preserve">field for Kandy is therefore a model output that almost no local observation can evaluate.</w:t>
      </w:r>
    </w:p>
    <w:bookmarkEnd w:id="9"/>
    <w:bookmarkStart w:id="10" w:name="aim"/>
    <w:p>
      <w:pPr>
        <w:pStyle w:val="Heading2"/>
      </w:pPr>
      <w:r>
        <w:t xml:space="preserve">Aim</w:t>
      </w:r>
    </w:p>
    <w:p>
      <w:pPr>
        <w:pStyle w:val="FirstParagraph"/>
      </w:pPr>
      <w:r>
        <w:t xml:space="preserve">To reconstruct PM2.5 over the Kandy basin at hourly and one-kilometre resolution for 2019 to 2023</w:t>
      </w:r>
      <w:r>
        <w:t xml:space="preserve"> </w:t>
      </w:r>
      <w:r>
        <w:t xml:space="preserve">from data available everywhere; to establish what that reconstruction can and cannot be trusted to</w:t>
      </w:r>
      <w:r>
        <w:t xml:space="preserve"> </w:t>
      </w:r>
      <w:r>
        <w:t xml:space="preserve">say; to determine the spatial scale below which it is no longer supported; and to rank the</w:t>
      </w:r>
      <w:r>
        <w:t xml:space="preserve"> </w:t>
      </w:r>
      <w:r>
        <w:t xml:space="preserve">measurements that would most improve it.</w:t>
      </w:r>
    </w:p>
    <w:bookmarkEnd w:id="10"/>
    <w:bookmarkStart w:id="11" w:name="Xe451d308cb5ca998698046945ad888aa1c510a5"/>
    <w:p>
      <w:pPr>
        <w:pStyle w:val="Heading2"/>
      </w:pPr>
      <w:r>
        <w:t xml:space="preserve">What was tried first, and why it was abandoned</w:t>
      </w:r>
    </w:p>
    <w:p>
      <w:pPr>
        <w:pStyle w:val="FirstParagraph"/>
      </w:pPr>
      <w:r>
        <w:t xml:space="preserve">The work began as a machine-learning problem: learn the city-mean level from satellite and</w:t>
      </w:r>
      <w:r>
        <w:t xml:space="preserve"> </w:t>
      </w:r>
      <w:r>
        <w:t xml:space="preserve">reanalysis data, and learn the within-city spatial pattern from cities that have dense networks. The</w:t>
      </w:r>
      <w:r>
        <w:t xml:space="preserve"> </w:t>
      </w:r>
      <w:r>
        <w:t xml:space="preserve">second half did not survive testing. A cross-city neural model produced fields that were defensible</w:t>
      </w:r>
      <w:r>
        <w:t xml:space="preserve"> </w:t>
      </w:r>
      <w:r>
        <w:t xml:space="preserve">in aggregate but spatially featureless; fine-tuning it on Kandy’s two sensors reproduced those two</w:t>
      </w:r>
      <w:r>
        <w:t xml:space="preserve"> </w:t>
      </w:r>
      <w:r>
        <w:t xml:space="preserve">points almost exactly while inflating the rest of the grid, having learned the sensor coordinates</w:t>
      </w:r>
      <w:r>
        <w:t xml:space="preserve"> </w:t>
      </w:r>
      <w:r>
        <w:t xml:space="preserve">rather than the basin; a physics-informed network transferred between two distant cities but never</w:t>
      </w:r>
      <w:r>
        <w:t xml:space="preserve"> </w:t>
      </w:r>
      <w:r>
        <w:t xml:space="preserve">became a usable component; five successive rebuilds of the regional background were each rejected</w:t>
      </w:r>
      <w:r>
        <w:t xml:space="preserve"> </w:t>
      </w:r>
      <w:r>
        <w:t xml:space="preserve">against their own criteria; and a terrain-steered dispersion step, built specifically to place the</w:t>
      </w:r>
      <w:r>
        <w:t xml:space="preserve"> </w:t>
      </w:r>
      <w:r>
        <w:t xml:space="preserve">local increment, was found to lower the ranking of neighbourhoods from</w:t>
      </w:r>
      <w:r>
        <w:t xml:space="preserve"> </w:t>
      </w:r>
      <w:r>
        <w:t xml:space="preserve">0.371 to 0.274 and is not used. Eight such</w:t>
      </w:r>
      <w:r>
        <w:t xml:space="preserve"> </w:t>
      </w:r>
      <w:r>
        <w:t xml:space="preserve">approaches are documented in full, with what each one still established. Their common lesson set</w:t>
      </w:r>
      <w:r>
        <w:t xml:space="preserve"> </w:t>
      </w:r>
      <w:r>
        <w:t xml:space="preserve">the design that followed: the information needed to place pollution inside a city is not present in</w:t>
      </w:r>
      <w:r>
        <w:t xml:space="preserve"> </w:t>
      </w:r>
      <w:r>
        <w:t xml:space="preserve">the data available for a city like Kandy, so it must be imposed from physical reasoning and</w:t>
      </w:r>
      <w:r>
        <w:t xml:space="preserve"> </w:t>
      </w:r>
      <w:r>
        <w:t xml:space="preserve">declared as an assumption rather than fitted and presented as a result.</w:t>
      </w:r>
    </w:p>
    <w:bookmarkEnd w:id="11"/>
    <w:bookmarkStart w:id="12" w:name="the-model"/>
    <w:p>
      <w:pPr>
        <w:pStyle w:val="Heading2"/>
      </w:pPr>
      <w:r>
        <w:t xml:space="preserve">The model</w:t>
      </w:r>
    </w:p>
    <w:p>
      <w:pPr>
        <w:pStyle w:val="FirstParagraph"/>
      </w:pPr>
      <w:r>
        <w:t xml:space="preserve">Concentration on the kilometre grid is represented as a regional background, spatially uniform at</w:t>
      </w:r>
      <w:r>
        <w:t xml:space="preserve"> </w:t>
      </w:r>
      <w:r>
        <w:t xml:space="preserve">any hour, plus a locally generated increment redistributed by a pattern of unit spatial mean: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>
        <m:r>
          <m:t>T</m:t>
        </m:r>
      </m:oMath>
      <w:r>
        <w:t xml:space="preserve">, the basin-mean concentration, is a gradient-boosted model over reanalysis meteorology,</w:t>
      </w:r>
      <w:r>
        <w:t xml:space="preserve"> </w:t>
      </w:r>
      <w:r>
        <w:t xml:space="preserve">re-anchored annually to a satellite-derived mean and shaped to the cycles of the two local sensors;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rural floor with a seasonal shape;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combines an emission proxy with a</w:t>
      </w:r>
      <w:r>
        <w:t xml:space="preserve"> </w:t>
      </w:r>
      <w:r>
        <w:t xml:space="preserve">terrain-confinement term. Two properties follow by construction: the field averages to</w:t>
      </w:r>
      <w:r>
        <w:t xml:space="preserve"> </w:t>
      </w:r>
      <m:oMath>
        <m:r>
          <m:t>T</m:t>
        </m:r>
      </m:oMath>
      <w:r>
        <w:t xml:space="preserve">, so</w:t>
      </w:r>
      <w:r>
        <w:t xml:space="preserve"> </w:t>
      </w:r>
      <w:r>
        <w:t xml:space="preserve">misplacing material cannot create more of it, and each component declares which observations it may</w:t>
      </w:r>
      <w:r>
        <w:t xml:space="preserve"> </w:t>
      </w:r>
      <w:r>
        <w:t xml:space="preserve">use, so withholding a data source reproduces the corresponding simpler model exactly. That second</w:t>
      </w:r>
      <w:r>
        <w:t xml:space="preserve"> </w:t>
      </w:r>
      <w:r>
        <w:t xml:space="preserve">property is what turns the model into an instrument for measuring the worth of an observation.</w:t>
      </w:r>
    </w:p>
    <w:p>
      <w:pPr>
        <w:pStyle w:val="BodyText"/>
      </w:pPr>
      <w:r>
        <w:t xml:space="preserve">Because Kandy cannot evaluate its own field, the construction was tested on monitored valley and</w:t>
      </w:r>
      <w:r>
        <w:t xml:space="preserve"> </w:t>
      </w:r>
      <w:r>
        <w:t xml:space="preserve">basin cities by withholding their observations and supplying only the data Kandy has. Across ten</w:t>
      </w:r>
      <w:r>
        <w:t xml:space="preserve"> </w:t>
      </w:r>
      <w:r>
        <w:t xml:space="preserve">cities the seasonal cycle transfers well (correlations 0.943 to</w:t>
      </w:r>
      <w:r>
        <w:t xml:space="preserve"> </w:t>
      </w:r>
      <w:r>
        <w:t xml:space="preserve">0.996), the daily cycle transfers unevenly</w:t>
      </w:r>
      <w:r>
        <w:t xml:space="preserve"> </w:t>
      </w:r>
      <w:r>
        <w:t xml:space="preserve">(-0.325 to 0.977), and the median absolute</w:t>
      </w:r>
      <w:r>
        <w:t xml:space="preserve"> </w:t>
      </w:r>
      <w:r>
        <w:t xml:space="preserve">level error is 7.6 per cent. What transfers is the procedure;</w:t>
      </w:r>
      <w:r>
        <w:t xml:space="preserve"> </w:t>
      </w:r>
      <w:r>
        <w:t xml:space="preserve">applying it to Kandy is an argument from resemblance, since Kandy is by construction the kind of</w:t>
      </w:r>
      <w:r>
        <w:t xml:space="preserve"> </w:t>
      </w:r>
      <w:r>
        <w:t xml:space="preserve">city the test set excludes.</w:t>
      </w:r>
    </w:p>
    <w:bookmarkEnd w:id="12"/>
    <w:bookmarkStart w:id="13" w:name="Xbc0312af818adf839e3373d18258ce3019a9e17"/>
    <w:p>
      <w:pPr>
        <w:pStyle w:val="Heading2"/>
      </w:pPr>
      <w:r>
        <w:t xml:space="preserve">The reconstructed field, and what the checks at Kandy show</w:t>
      </w:r>
    </w:p>
    <w:p>
      <w:pPr>
        <w:pStyle w:val="FirstParagraph"/>
      </w:pPr>
      <w:r>
        <w:t xml:space="preserve">The annual basin mean ranges from 17.1 to 21.0 micrograms</w:t>
      </w:r>
      <w:r>
        <w:t xml:space="preserve"> </w:t>
      </w:r>
      <w:r>
        <w:t xml:space="preserve">per cubic metre over 2019 to 2023, above the World Health Organization annual guideline of 5 in</w:t>
      </w:r>
      <w:r>
        <w:t xml:space="preserve"> </w:t>
      </w:r>
      <w:r>
        <w:t xml:space="preserve">every year. In 2023 it is 30.2 in December to February and</w:t>
      </w:r>
      <w:r>
        <w:t xml:space="preserve"> </w:t>
      </w:r>
      <w:r>
        <w:t xml:space="preserve">11.7 in June to August, the maximum falling in the north-east monsoon.</w:t>
      </w:r>
      <w:r>
        <w:t xml:space="preserve"> </w:t>
      </w:r>
      <w:r>
        <w:t xml:space="preserve">Concentrations peak in the morning (25.5) and evening</w:t>
      </w:r>
      <w:r>
        <w:t xml:space="preserve"> </w:t>
      </w:r>
      <w:r>
        <w:t xml:space="preserve">(26.3) about a midday minimum (16.0), with night</w:t>
      </w:r>
      <w:r>
        <w:t xml:space="preserve"> </w:t>
      </w:r>
      <w:r>
        <w:t xml:space="preserve">values 1.14 times the midday level. In a regional episode in December</w:t>
      </w:r>
      <w:r>
        <w:t xml:space="preserve"> </w:t>
      </w:r>
      <w:r>
        <w:t xml:space="preserve">2022 the basin mean averaged 49.7 and peaked at</w:t>
      </w:r>
      <w:r>
        <w:t xml:space="preserve"> </w:t>
      </w:r>
      <w:r>
        <w:t xml:space="preserve">82.1, the whole domain rising together. Under the stated assumptions the</w:t>
      </w:r>
      <w:r>
        <w:t xml:space="preserve"> </w:t>
      </w:r>
      <w:r>
        <w:t xml:space="preserve">decomposition assigns 0.483 of the concentration to the local increment. That share</w:t>
      </w:r>
      <w:r>
        <w:t xml:space="preserve"> </w:t>
      </w:r>
      <w:r>
        <w:t xml:space="preserve">is a bound set by a physical constraint, that local sources emit at every hour, and it ranges from</w:t>
      </w:r>
      <w:r>
        <w:t xml:space="preserve"> </w:t>
      </w:r>
      <w:r>
        <w:t xml:space="preserve">0.433 to 0.492 across reasonable forms of the constraint; it is a</w:t>
      </w:r>
      <w:r>
        <w:t xml:space="preserve"> </w:t>
      </w:r>
      <w:r>
        <w:t xml:space="preserve">constrained split, not a source apportionment.</w:t>
      </w:r>
      <w:r>
        <w:t xml:space="preserve"> </w:t>
      </w:r>
      <w:r>
        <w:t xml:space="preserve">Weighting by residential population raises exposure 9 per cent above the</w:t>
      </w:r>
      <w:r>
        <w:t xml:space="preserve"> </w:t>
      </w:r>
      <w:r>
        <w:t xml:space="preserve">area mean. The timing is supported by an independent national record, which differs from the field</w:t>
      </w:r>
      <w:r>
        <w:t xml:space="preserve"> </w:t>
      </w:r>
      <w:r>
        <w:t xml:space="preserve">by 0.7 and -2.6 per cent in two separate years. The</w:t>
      </w:r>
      <w:r>
        <w:t xml:space="preserve"> </w:t>
      </w:r>
      <w:r>
        <w:t xml:space="preserve">absolute level remains open: three low-cost records sit below the field, each carrying a downward</w:t>
      </w:r>
      <w:r>
        <w:t xml:space="preserve"> </w:t>
      </w:r>
      <w:r>
        <w:t xml:space="preserve">calibration correction, and the discrepancy is reported rather than resolved. The uncertainty</w:t>
      </w:r>
      <w:r>
        <w:t xml:space="preserve"> </w:t>
      </w:r>
      <w:r>
        <w:t xml:space="preserve">intervals are of the right width but wrongly centred, covering 72.4 per cent of</w:t>
      </w:r>
      <w:r>
        <w:t xml:space="preserve"> </w:t>
      </w:r>
      <w:r>
        <w:t xml:space="preserve">hours at the two sensors and 92.2 per cent once each sensor’s own offset</w:t>
      </w:r>
      <w:r>
        <w:t xml:space="preserve"> </w:t>
      </w:r>
      <w:r>
        <w:t xml:space="preserve">is removed, because the field is an areal mean and a sensor is a point.</w:t>
      </w:r>
    </w:p>
    <w:bookmarkEnd w:id="13"/>
    <w:bookmarkStart w:id="14" w:name="X5d515e2a65117921b46fc40e11b53429a0f5d6a"/>
    <w:p>
      <w:pPr>
        <w:pStyle w:val="Heading2"/>
      </w:pPr>
      <w:r>
        <w:t xml:space="preserve">What each additional observation is worth</w:t>
      </w:r>
    </w:p>
    <w:p>
      <w:pPr>
        <w:pStyle w:val="FirstParagraph"/>
      </w:pPr>
      <w:r>
        <w:t xml:space="preserve">Because every component declares its inputs, an observation can be withheld and the loss measured.</w:t>
      </w:r>
      <w:r>
        <w:t xml:space="preserve"> </w:t>
      </w:r>
      <w:r>
        <w:t xml:space="preserve">The design was developed on 47 monitored cities and then tested once on</w:t>
      </w:r>
      <w:r>
        <w:t xml:space="preserve"> </w:t>
      </w:r>
      <w:r>
        <w:t xml:space="preserve">72 fresh cities registered before their data were retrieved. Two stations</w:t>
      </w:r>
      <w:r>
        <w:t xml:space="preserve"> </w:t>
      </w:r>
      <w:r>
        <w:t xml:space="preserve">used only to recalibrate the free estimate reduced daily error by</w:t>
      </w:r>
      <w:r>
        <w:t xml:space="preserve"> </w:t>
      </w:r>
      <w:r>
        <w:t xml:space="preserve">8.53 per cent; a background series read day by day reduced it by</w:t>
      </w:r>
      <w:r>
        <w:t xml:space="preserve"> </w:t>
      </w:r>
      <w:r>
        <w:t xml:space="preserve">41.1 per cent; both held under a richer free baseline, other learners</w:t>
      </w:r>
      <w:r>
        <w:t xml:space="preserve"> </w:t>
      </w:r>
      <w:r>
        <w:t xml:space="preserve">and full station networks. A later review of the design found that this comparison was not like for</w:t>
      </w:r>
      <w:r>
        <w:t xml:space="preserve"> </w:t>
      </w:r>
      <w:r>
        <w:t xml:space="preserve">like. Read on the day, two stations of any kind reduced error by</w:t>
      </w:r>
      <w:r>
        <w:t xml:space="preserve"> </w:t>
      </w:r>
      <w:r>
        <w:t xml:space="preserve">58.8 per cent and the background’s advantage</w:t>
      </w:r>
      <w:r>
        <w:t xml:space="preserve"> </w:t>
      </w:r>
      <w:r>
        <w:t xml:space="preserve">vanished (-0.221 points). One station read</w:t>
      </w:r>
      <w:r>
        <w:t xml:space="preserve"> </w:t>
      </w:r>
      <w:r>
        <w:t xml:space="preserve">daily is worth 42.1 per cent, two 53.3 and</w:t>
      </w:r>
      <w:r>
        <w:t xml:space="preserve"> </w:t>
      </w:r>
      <w:r>
        <w:t xml:space="preserve">five 58.4, against about 11.0 per cent for any</w:t>
      </w:r>
      <w:r>
        <w:t xml:space="preserve"> </w:t>
      </w:r>
      <w:r>
        <w:t xml:space="preserve">number used only as a calibration. For Kandy the priority is therefore continuous stations whose</w:t>
      </w:r>
      <w:r>
        <w:t xml:space="preserve"> </w:t>
      </w:r>
      <w:r>
        <w:t xml:space="preserve">readings reach the estimate every day, of whatever kind the regulatory agencies operate, with one of</w:t>
      </w:r>
      <w:r>
        <w:t xml:space="preserve"> </w:t>
      </w:r>
      <w:r>
        <w:t xml:space="preserve">reference grade to fix the absolute level and to anchor every low-cost sensor deployed thereafter.</w:t>
      </w:r>
    </w:p>
    <w:bookmarkEnd w:id="14"/>
    <w:bookmarkStart w:id="15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field is not supported below the kilometre scale. Two Kandy sites three hundred metres apart</w:t>
      </w:r>
      <w:r>
        <w:t xml:space="preserve"> </w:t>
      </w:r>
      <w:r>
        <w:t xml:space="preserve">differ in measured PM10 by a factor of 27.5 while falling within one</w:t>
      </w:r>
      <w:r>
        <w:t xml:space="preserve"> </w:t>
      </w:r>
      <w:r>
        <w:t xml:space="preserve">model cell, and on cities with dense networks the spread inside a single cell</w:t>
      </w:r>
      <w:r>
        <w:t xml:space="preserve"> </w:t>
      </w:r>
      <w:r>
        <w:t xml:space="preserve">(1.22) exceeds the spread between cells</w:t>
      </w:r>
      <w:r>
        <w:t xml:space="preserve"> </w:t>
      </w:r>
      <w:r>
        <w:t xml:space="preserve">(1.05). A further 7 model families built on free</w:t>
      </w:r>
      <w:r>
        <w:t xml:space="preserve"> </w:t>
      </w:r>
      <w:r>
        <w:t xml:space="preserve">covariates exceed a single land-cover layer (0.309) by no more than the</w:t>
      </w:r>
      <w:r>
        <w:t xml:space="preserve"> </w:t>
      </w:r>
      <w:r>
        <w:t xml:space="preserve">detection limit of 0.13. A registered experiment adding stations one at a</w:t>
      </w:r>
      <w:r>
        <w:t xml:space="preserve"> </w:t>
      </w:r>
      <w:r>
        <w:t xml:space="preserve">time found that three to eight stations rank neighbourhoods no better than free surfaces, and after a</w:t>
      </w:r>
      <w:r>
        <w:t xml:space="preserve"> </w:t>
      </w:r>
      <w:r>
        <w:t xml:space="preserve">correction for multiple testing interpolation clearly overtook a land-cover layer in only</w:t>
      </w:r>
      <w:r>
        <w:t xml:space="preserve"> </w:t>
      </w:r>
      <w:r>
        <w:t xml:space="preserve">3 of 23 cities. The limitation is one of available information,</w:t>
      </w:r>
      <w:r>
        <w:t xml:space="preserve"> </w:t>
      </w:r>
      <w:r>
        <w:t xml:space="preserve">not of the model class chosen. The study therefore claims neither a validated neighbourhood-scale</w:t>
      </w:r>
      <w:r>
        <w:t xml:space="preserve"> </w:t>
      </w:r>
      <w:r>
        <w:t xml:space="preserve">map, nor a representation of atmospheric chemistry, nor an independently validated absolute level</w:t>
      </w:r>
      <w:r>
        <w:t xml:space="preserve"> </w:t>
      </w:r>
      <w:r>
        <w:t xml:space="preserve">at Kandy: what is validated is a procedure, tested on monitored cities and applied to Kandy by</w:t>
      </w:r>
      <w:r>
        <w:t xml:space="preserve"> </w:t>
      </w:r>
      <w:r>
        <w:t xml:space="preserve">analogy.</w:t>
      </w:r>
    </w:p>
    <w:bookmarkEnd w:id="15"/>
    <w:bookmarkStart w:id="16" w:name="ongoing-work-and-verification"/>
    <w:p>
      <w:pPr>
        <w:pStyle w:val="Heading2"/>
      </w:pPr>
      <w:r>
        <w:t xml:space="preserve">Ongoing work and verification</w:t>
      </w:r>
    </w:p>
    <w:p>
      <w:pPr>
        <w:pStyle w:val="FirstParagraph"/>
      </w:pPr>
      <w:r>
        <w:t xml:space="preserve">Three strands continue. The regulatory monitor at Kandy, once its data are released, will allow the</w:t>
      </w:r>
      <w:r>
        <w:t xml:space="preserve"> </w:t>
      </w:r>
      <w:r>
        <w:t xml:space="preserve">level, the humidity correction of the low-cost sensors and the daily shape to be checked against a</w:t>
      </w:r>
      <w:r>
        <w:t xml:space="preserve"> </w:t>
      </w:r>
      <w:r>
        <w:t xml:space="preserve">reference instrument. Four institutional data requests are in progress, of which two have</w:t>
      </w:r>
      <w:r>
        <w:t xml:space="preserve"> </w:t>
      </w:r>
      <w:r>
        <w:t xml:space="preserve">been answered, one granting access in principle subject to a formal agreement. A measurement</w:t>
      </w:r>
      <w:r>
        <w:t xml:space="preserve"> </w:t>
      </w:r>
      <w:r>
        <w:t xml:space="preserve">campaign for Kandy has been designed, costed and pre-registered, but remains under development and</w:t>
      </w:r>
      <w:r>
        <w:t xml:space="preserve"> </w:t>
      </w:r>
      <w:r>
        <w:t xml:space="preserve">is not presented here as a recommendation. Every value in the report is regenerated from source at</w:t>
      </w:r>
      <w:r>
        <w:t xml:space="preserve"> </w:t>
      </w:r>
      <w:r>
        <w:t xml:space="preserve">build time by a gate that refuses to build when prose and data disagree, and predictions were</w:t>
      </w:r>
      <w:r>
        <w:t xml:space="preserve"> </w:t>
      </w:r>
      <w:r>
        <w:t xml:space="preserve">pre-registered before each analysis: twenty-three of 105 registered predictions were refuted.</w:t>
      </w:r>
    </w:p>
    <w:p>
      <w:pPr>
        <w:pStyle w:val="BodyText"/>
      </w:pPr>
      <w:r>
        <w:rPr>
          <w:b/>
          <w:bCs/>
        </w:rPr>
        <w:t xml:space="preserve">Contact:</w:t>
      </w:r>
      <w:r>
        <w:t xml:space="preserve"> </w:t>
      </w:r>
      <w:r>
        <w:t xml:space="preserve">11daminda08@gmail.com · s20005@sci.pdn.ac.lk</w:t>
      </w:r>
    </w:p>
    <w:bookmarkEnd w:id="16"/>
    <w:sectPr>
      <w:footnotePr>
        <w:numRestart w:val="eachSect"/>
      </w:footnotePr>
      <w:pgSz w:h="16838" w:w="11906"/>
      <w:pgMar w:bottom="1800" w:footer="709" w:left="180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60" w:lineRule="auto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120" w:before="36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240" w:lineRule="auto"/>
      <w:jc w:val="left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40" w:lineRule="auto"/>
      <w:jc w:val="center"/>
      <w:outlineLvl w:val="0"/>
    </w:pPr>
    <w:rPr>
      <w:rFonts w:ascii="Times New Roman" w:cs="Times New Roman" w:eastAsia="Times New Roman" w:hAnsi="Times New Roman"/>
      <w:b/>
      <w:i w:val="0"/>
      <w:color w:val="000000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ageBreakBefore w:val="0"/>
      <w:spacing w:after="120" w:before="280" w:line="240" w:lineRule="auto"/>
      <w:jc w:val="left"/>
      <w:outlineLvl w:val="1"/>
    </w:pPr>
    <w:rPr>
      <w:rFonts w:ascii="Times New Roman" w:cs="Times New Roman" w:eastAsia="Times New Roman" w:hAnsi="Times New Roman"/>
      <w:b/>
      <w:i w:val="0"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pageBreakBefore w:val="0"/>
      <w:spacing w:after="120" w:before="240" w:line="240" w:lineRule="auto"/>
      <w:jc w:val="left"/>
      <w:outlineLvl w:val="2"/>
    </w:pPr>
    <w:rPr>
      <w:rFonts w:ascii="Times New Roman" w:cs="Times New Roman" w:eastAsia="Times New Roman" w:hAnsi="Times New Roman"/>
      <w:b/>
      <w:i w:val="0"/>
      <w:color w:val="000000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3"/>
    </w:pPr>
    <w:rPr>
      <w:rFonts w:ascii="Times New Roman" w:cs="Times New Roman" w:eastAsia="Times New Roman" w:hAnsi="Times New Roman"/>
      <w:b/>
      <w:i/>
      <w:iCs/>
      <w:color w:val="000000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pageBreakBefore w:val="0"/>
      <w:spacing w:after="80" w:before="200" w:line="240" w:lineRule="auto"/>
      <w:jc w:val="left"/>
      <w:outlineLvl w:val="4"/>
    </w:pPr>
    <w:rPr>
      <w:rFonts w:ascii="Times New Roman" w:cs="Times New Roman" w:eastAsia="Times New Roman" w:hAnsi="Times New Roman"/>
      <w:b/>
      <w:i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240" w:lineRule="auto"/>
      <w:ind w:firstLine="0" w:left="480" w:right="48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b w:val="0"/>
      <w:i w:val="0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ImageCaption" w:type="paragraph">
    <w:name w:val="Image Caption"/>
    <w:basedOn w:val="Caption"/>
    <w:pPr>
      <w:spacing w:after="200" w:line="240" w:lineRule="auto"/>
      <w:jc w:val="center"/>
    </w:pPr>
    <w:rPr>
      <w:rFonts w:ascii="Times New Roman" w:cs="Times New Roman" w:eastAsia="Times New Roman" w:hAnsi="Times New Roman"/>
      <w:b w:val="0"/>
      <w:i/>
      <w:color w:val="000000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FrontHeading" w:type="paragraph">
    <w:name w:val="Front Heading"/>
    <w:basedOn w:val="Normal"/>
    <w:pPr>
      <w:keepNext/>
      <w:pageBreakBefore/>
      <w:spacing w:after="36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AbstractText" w:type="paragraph">
    <w:name w:val="Abstract Text"/>
    <w:basedOn w:val="Normal"/>
    <w:pPr>
      <w:pageBreakBefore w:val="0"/>
      <w:spacing w:after="120" w:before="0" w:line="240" w:lineRule="auto"/>
      <w:ind w:firstLine="0"/>
      <w:jc w:val="both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Marker" w:type="paragraph">
    <w:name w:val="Marker"/>
    <w:basedOn w:val="Normal"/>
    <w:pPr>
      <w:pageBreakBefore w:val="0"/>
      <w:spacing w:after="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4"/>
    </w:rPr>
  </w:style>
  <w:style w:customStyle="1" w:styleId="TitlePageTitle" w:type="paragraph">
    <w:name w:val="Title Page Title"/>
    <w:basedOn w:val="Normal"/>
    <w:pPr>
      <w:pageBreakBefore w:val="0"/>
      <w:spacing w:after="7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8"/>
    </w:rPr>
  </w:style>
  <w:style w:customStyle="1" w:styleId="TitlePageText" w:type="paragraph">
    <w:name w:val="Title Page Text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4"/>
    </w:rPr>
  </w:style>
  <w:style w:customStyle="1" w:styleId="TitlePageName" w:type="paragraph">
    <w:name w:val="Title Page Name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</w:rPr>
  </w:style>
  <w:style w:customStyle="1" w:styleId="TitlePageBold" w:type="paragraph">
    <w:name w:val="Title Page Bold"/>
    <w:basedOn w:val="Normal"/>
    <w:pPr>
      <w:pageBreakBefore w:val="0"/>
      <w:spacing w:after="120" w:before="0" w:line="240" w:lineRule="auto"/>
      <w:ind w:firstLine="0"/>
      <w:jc w:val="center"/>
    </w:pPr>
    <w:rPr>
      <w:rFonts w:ascii="Times New Roman" w:cs="Times New Roman" w:eastAsia="Times New Roman" w:hAnsi="Times New Roman"/>
      <w:b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hourly kilometre-scale fine particulate matter reconstruction for Kandy, Sri Lanka: construction, validation without local ground truth, and measurement priorities</dc:title>
  <dc:creator>A. M. D. W. B. Alahakoon, Department of Environmental and Industrial Sciences, University of Peradeniya, Sri Lanka</dc:creator>
  <cp:keywords/>
  <dcterms:created xsi:type="dcterms:W3CDTF">2026-10-07T17:29:36Z</dcterms:created>
  <dcterms:modified xsi:type="dcterms:W3CDTF">2026-10-07T17:29:36Z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False</vt:lpwstr>
  </property>
  <property fmtid="{D5CDD505-2E9C-101B-9397-08002B2CF9AE}" pid="3" name="date">
    <vt:lpwstr>2026</vt:lpwstr>
  </property>
  <property fmtid="{D5CDD505-2E9C-101B-9397-08002B2CF9AE}" pid="4" name="fontsize">
    <vt:lpwstr>12pt</vt:lpwstr>
  </property>
  <property fmtid="{D5CDD505-2E9C-101B-9397-08002B2CF9AE}" pid="5" name="geometry">
    <vt:lpwstr>margin=1.0cm</vt:lpwstr>
  </property>
  <property fmtid="{D5CDD505-2E9C-101B-9397-08002B2CF9AE}" pid="6" name="header-includes">
    <vt:lpwstr/>
  </property>
  <property fmtid="{D5CDD505-2E9C-101B-9397-08002B2CF9AE}" pid="7" name="mainfont">
    <vt:lpwstr>Times New Roman</vt:lpwstr>
  </property>
  <property fmtid="{D5CDD505-2E9C-101B-9397-08002B2CF9AE}" pid="8" name="monofont">
    <vt:lpwstr>Times New Roman</vt:lpwstr>
  </property>
  <property fmtid="{D5CDD505-2E9C-101B-9397-08002B2CF9AE}" pid="9" name="sansfont">
    <vt:lpwstr>Times New Roman</vt:lpwstr>
  </property>
</Properties>
</file>