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evaluation under sparse local monitoring,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57,111 words, 33 figures and 16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transfers everywhere (correlation</w:t>
      </w:r>
      <w:r>
        <w:t xml:space="preserve"> </w:t>
      </w:r>
      <w:r>
        <w:t xml:space="preserve">0.943 to 0.996),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0.767 across calendar months) but not its day-to-day variation (within-month</w:t>
      </w:r>
      <w:r>
        <w:t xml:space="preserve"> </w:t>
      </w:r>
      <w:r>
        <w:t xml:space="preserve">correlation 0.285),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(0.72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13.6 to 16.8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Taken from the satellite surface the level read 24 per cent above the</w:t>
      </w:r>
      <w:r>
        <w:t xml:space="preserve"> </w:t>
      </w:r>
      <w:r>
        <w:t xml:space="preserve">regulatory station; the corrected low-cost record is within -5 per cent of the</w:t>
      </w:r>
      <w:r>
        <w:t xml:space="preserve"> </w:t>
      </w:r>
      <w:r>
        <w:t xml:space="preserve">station, so the excess lies in the satellite level. The delivered level is re-anchored to the station</w:t>
      </w:r>
      <w:r>
        <w:t xml:space="preserve"> </w:t>
      </w:r>
      <w:r>
        <w:t xml:space="preserve">by a factor of 0.8 fitted on 2019 to mid-2021; on the held-out 2022 and 2023 days</w:t>
      </w:r>
      <w:r>
        <w:t xml:space="preserve"> </w:t>
      </w:r>
      <w:r>
        <w:t xml:space="preserve">it is within -1 per cent of the station (satellite level</w:t>
      </w:r>
      <w:r>
        <w:t xml:space="preserve"> </w:t>
      </w:r>
      <w:r>
        <w:t xml:space="preserve">24 per cent), over only 11 months. The exceedance is</w:t>
      </w:r>
      <w:r>
        <w:t xml:space="preserve"> </w:t>
      </w:r>
      <w:r>
        <w:t xml:space="preserve">robust: the annual means stay at least 2.4 times the guideline across the factor’s</w:t>
      </w:r>
      <w:r>
        <w:t xml:space="preserve"> </w:t>
      </w:r>
      <w:r>
        <w:t xml:space="preserve">interval. The seasonal cycle is the best-supported property, with the maximum in the</w:t>
      </w:r>
      <w:r>
        <w:t xml:space="preserve"> </w:t>
      </w:r>
      <w:r>
        <w:t xml:space="preserve">north-east monsoon (24.2 in December to February of 2023) and</w:t>
      </w:r>
      <w:r>
        <w:t xml:space="preserve"> </w:t>
      </w:r>
      <w:r>
        <w:t xml:space="preserve">the minimum in the south-west monsoon (9.4).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 and a morning peak like the delivered field’s, but its</w:t>
      </w:r>
      <w:r>
        <w:t xml:space="preserve"> </w:t>
      </w:r>
      <w:r>
        <w:t xml:space="preserve">deep night is the daily minimum (0.71 of midday), so the</w:t>
      </w:r>
      <w:r>
        <w:t xml:space="preserve"> </w:t>
      </w:r>
      <w:r>
        <w:t xml:space="preserve">field’s nights are too high. The interval covers</w:t>
      </w:r>
      <w:r>
        <w:t xml:space="preserve"> </w:t>
      </w:r>
      <w:r>
        <w:t xml:space="preserve">77.3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0.479 of the modelled total, 0.428 to</w:t>
      </w:r>
      <w:r>
        <w:t xml:space="preserve"> </w:t>
      </w:r>
      <w:r>
        <w:t xml:space="preserve">0.489 across the tested ways of applying the cap and 0.521</w:t>
      </w:r>
      <w:r>
        <w:t xml:space="preserve"> </w:t>
      </w:r>
      <w:r>
        <w:t xml:space="preserve">with a 48-hour background window: a property of the decomposition, not a source apportionment. Measured at the</w:t>
      </w:r>
      <w:r>
        <w:t xml:space="preserve"> </w:t>
      </w:r>
      <w:r>
        <w:t xml:space="preserve">regulatory station, the local share lies between about 0.36 (urban excess over the cleanest regional</w:t>
      </w:r>
      <w:r>
        <w:t xml:space="preserve"> </w:t>
      </w:r>
      <w:r>
        <w:t xml:space="preserve">town, a lower bound) and 0.53 (combustion-tracer intercept), with the model at the upper end.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(1.21) exceeds the spread</w:t>
      </w:r>
      <w:r>
        <w:t xml:space="preserve"> </w:t>
      </w:r>
      <w:r>
        <w:t xml:space="preserve">between cells (1.04).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A formal agreement for the regulatory record, and co-locating the low-cost sensors with it, would</w:t>
      </w:r>
      <w:r>
        <w:t xml:space="preserve"> </w:t>
      </w:r>
      <w:r>
        <w:t xml:space="preserve">fix the size of the level excess and show where the sensor record’s nights go wrong. A fresh pre-registered</w:t>
      </w:r>
      <w:r>
        <w:t xml:space="preserve"> </w:t>
      </w:r>
      <w:r>
        <w:t xml:space="preserve">like-for-like test and an independent reproduction are the next steps for the cross-city results.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evaluation under sparse local monitoring, and measurement priorities</dc:title>
  <dc:creator>A. M. D. W. B. Alahakoon, Department of Environmental and Industrial Sciences, University of Peradeniya, Sri Lanka</dc:creator>
  <cp:keywords/>
  <dcterms:created xsi:type="dcterms:W3CDTF">2026-10-11T12:20:42Z</dcterms:created>
  <dcterms:modified xsi:type="dcterms:W3CDTF">2026-10-11T12:20:42Z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