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55,603 words, 33 figures and 15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0.483 of the modelled total, 0.433 to</w:t>
      </w:r>
      <w:r>
        <w:t xml:space="preserve"> </w:t>
      </w:r>
      <w:r>
        <w:t xml:space="preserve">0.492 across the tested ways of applying the cap and 0.521</w:t>
      </w:r>
      <w:r>
        <w:t xml:space="preserve"> </w:t>
      </w:r>
      <w:r>
        <w:t xml:space="preserve">with a 48-hour background window: a property of the decomposition, not a source apportionment.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A formal agreement for the regulatory record, and co-locating the low-cost sensors with it, would</w:t>
      </w:r>
      <w:r>
        <w:t xml:space="preserve"> </w:t>
      </w:r>
      <w:r>
        <w:t xml:space="preserve">fix the size of the level excess and show where the sensor record’s nights go wrong.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2026-10-11T10:22:06Z</dcterms:created>
  <dcterms:modified xsi:type="dcterms:W3CDTF">2026-10-11T10:22:06Z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