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104A9" w14:textId="3C3CC13C" w:rsidR="00C76444" w:rsidRPr="00BF7796" w:rsidRDefault="00401B96">
      <w:pPr>
        <w:rPr>
          <w:rFonts w:ascii="Garamond" w:hAnsi="Garamond"/>
          <w:lang w:val="es-ES"/>
        </w:rPr>
      </w:pPr>
      <w:r w:rsidRPr="00BF7796">
        <w:rPr>
          <w:rFonts w:ascii="Garamond" w:hAnsi="Garamond"/>
          <w:lang w:val="es-ES"/>
        </w:rPr>
        <w:t>Presentación ISA 2025</w:t>
      </w:r>
    </w:p>
    <w:p w14:paraId="55993E1A" w14:textId="77777777" w:rsidR="00401B96" w:rsidRPr="00BF7796" w:rsidRDefault="00401B96">
      <w:pPr>
        <w:rPr>
          <w:rFonts w:ascii="Garamond" w:hAnsi="Garamond"/>
          <w:lang w:val="es-ES"/>
        </w:rPr>
      </w:pPr>
    </w:p>
    <w:p w14:paraId="06B3094B" w14:textId="0F66CB40" w:rsidR="00401B96" w:rsidRPr="00BF7796" w:rsidRDefault="00401B96">
      <w:pPr>
        <w:rPr>
          <w:rFonts w:ascii="Garamond" w:hAnsi="Garamond"/>
          <w:lang w:val="es-ES"/>
        </w:rPr>
      </w:pPr>
      <w:r w:rsidRPr="00BF7796">
        <w:rPr>
          <w:rFonts w:ascii="Garamond" w:hAnsi="Garamond"/>
          <w:lang w:val="es-ES"/>
        </w:rPr>
        <w:t>Felipe Sánchez-Barría</w:t>
      </w:r>
    </w:p>
    <w:p w14:paraId="346438A1" w14:textId="2C4DF0C1" w:rsidR="00401B96" w:rsidRPr="00BF7796" w:rsidRDefault="00401B96">
      <w:pPr>
        <w:rPr>
          <w:rFonts w:ascii="Garamond" w:hAnsi="Garamond"/>
          <w:lang w:val="es-ES"/>
        </w:rPr>
      </w:pPr>
      <w:r w:rsidRPr="00BF7796">
        <w:rPr>
          <w:rFonts w:ascii="Garamond" w:hAnsi="Garamond"/>
          <w:lang w:val="es-ES"/>
        </w:rPr>
        <w:t>Daniel Miranda</w:t>
      </w:r>
    </w:p>
    <w:p w14:paraId="0E59B633" w14:textId="77777777" w:rsidR="00401B96" w:rsidRPr="00BF7796" w:rsidRDefault="00401B96">
      <w:pPr>
        <w:rPr>
          <w:rFonts w:ascii="Garamond" w:hAnsi="Garamond"/>
          <w:lang w:val="es-ES"/>
        </w:rPr>
      </w:pPr>
    </w:p>
    <w:p w14:paraId="3E6BEBC3" w14:textId="77777777" w:rsidR="00401B96" w:rsidRPr="00BF7796" w:rsidRDefault="00401B96">
      <w:pPr>
        <w:rPr>
          <w:rFonts w:ascii="Garamond" w:hAnsi="Garamond"/>
          <w:lang w:val="es-ES"/>
        </w:rPr>
      </w:pPr>
    </w:p>
    <w:p w14:paraId="7FC044BF" w14:textId="280AD5E5" w:rsidR="00401B96" w:rsidRPr="00BF7796" w:rsidRDefault="00401B96" w:rsidP="004A50A6">
      <w:pPr>
        <w:spacing w:line="480" w:lineRule="auto"/>
        <w:jc w:val="both"/>
        <w:rPr>
          <w:rFonts w:ascii="Garamond" w:hAnsi="Garamond"/>
          <w:lang w:val="es-ES"/>
        </w:rPr>
      </w:pPr>
      <w:r w:rsidRPr="00BF7796">
        <w:rPr>
          <w:rFonts w:ascii="Garamond" w:hAnsi="Garamond"/>
          <w:lang w:val="es-ES"/>
        </w:rPr>
        <w:t xml:space="preserve">En los últimos años hemos presenciado una serie de importantes episodios de movilización masiva liderados principalmente por jóvenes. En algunos de estos episodios, los jóvenes han excedido las formas más pacíficas de acción colectiva involucrándose en acciones no sólo disruptivas sino </w:t>
      </w:r>
      <w:r w:rsidR="004A50A6" w:rsidRPr="00BF7796">
        <w:rPr>
          <w:rFonts w:ascii="Garamond" w:hAnsi="Garamond"/>
          <w:lang w:val="es-ES"/>
        </w:rPr>
        <w:t>acciones más radicales</w:t>
      </w:r>
      <w:r w:rsidRPr="00BF7796">
        <w:rPr>
          <w:rFonts w:ascii="Garamond" w:hAnsi="Garamond"/>
          <w:lang w:val="es-ES"/>
        </w:rPr>
        <w:t>. Uno ejemplo de ello es el del “estallido social” en Chile que comenzó como una serie de protestas de estudiantes secundarios en contra del alza de</w:t>
      </w:r>
      <w:r w:rsidR="004A50A6" w:rsidRPr="00BF7796">
        <w:rPr>
          <w:rFonts w:ascii="Garamond" w:hAnsi="Garamond"/>
          <w:lang w:val="es-ES"/>
        </w:rPr>
        <w:t xml:space="preserve">l precio de viaje en metro. Los jóvenes ingresaban a las estaciones del metro y saltaban sobre los </w:t>
      </w:r>
      <w:proofErr w:type="spellStart"/>
      <w:r w:rsidR="004A50A6" w:rsidRPr="00BF7796">
        <w:rPr>
          <w:rFonts w:ascii="Garamond" w:hAnsi="Garamond"/>
          <w:lang w:val="es-ES"/>
        </w:rPr>
        <w:t>torquinetes</w:t>
      </w:r>
      <w:proofErr w:type="spellEnd"/>
      <w:r w:rsidR="004A50A6" w:rsidRPr="00BF7796">
        <w:rPr>
          <w:rFonts w:ascii="Garamond" w:hAnsi="Garamond"/>
          <w:lang w:val="es-ES"/>
        </w:rPr>
        <w:t>, interrumpiendo los servicios y enfrentándose con la policía.</w:t>
      </w:r>
    </w:p>
    <w:p w14:paraId="75CA6464" w14:textId="77777777" w:rsidR="004A50A6" w:rsidRPr="00BF7796" w:rsidRDefault="004A50A6" w:rsidP="004A50A6">
      <w:pPr>
        <w:spacing w:line="480" w:lineRule="auto"/>
        <w:jc w:val="both"/>
        <w:rPr>
          <w:rFonts w:ascii="Garamond" w:hAnsi="Garamond"/>
          <w:lang w:val="es-ES"/>
        </w:rPr>
      </w:pPr>
    </w:p>
    <w:p w14:paraId="4BADE338" w14:textId="77777777" w:rsidR="004A50A6" w:rsidRPr="00BF7796" w:rsidRDefault="004A50A6" w:rsidP="004A50A6">
      <w:pPr>
        <w:spacing w:line="480" w:lineRule="auto"/>
        <w:jc w:val="both"/>
        <w:rPr>
          <w:rFonts w:ascii="Garamond" w:hAnsi="Garamond"/>
          <w:lang w:val="es-ES"/>
        </w:rPr>
      </w:pPr>
      <w:r w:rsidRPr="00BF7796">
        <w:rPr>
          <w:rFonts w:ascii="Garamond" w:hAnsi="Garamond"/>
          <w:lang w:val="es-ES"/>
        </w:rPr>
        <w:t>¿Qué llevan a unos jóvenes a involucrarse en acciones más radicales, mientras que otros prefieren formas más convencionales de participación, y a otros a no involucrarse en absoluto? ¿Qué factores están asociados a las expectativas de participación de una población que está en pleno proceso de socialización política?</w:t>
      </w:r>
    </w:p>
    <w:p w14:paraId="1E1472E1" w14:textId="77777777" w:rsidR="004A50A6" w:rsidRPr="00BF7796" w:rsidRDefault="004A50A6" w:rsidP="004A50A6">
      <w:pPr>
        <w:spacing w:line="480" w:lineRule="auto"/>
        <w:jc w:val="both"/>
        <w:rPr>
          <w:rFonts w:ascii="Garamond" w:hAnsi="Garamond"/>
          <w:lang w:val="es-ES"/>
        </w:rPr>
      </w:pPr>
    </w:p>
    <w:p w14:paraId="56747F28" w14:textId="07B05892" w:rsidR="004A50A6" w:rsidRPr="00BF7796" w:rsidRDefault="00983D8D" w:rsidP="004A50A6">
      <w:pPr>
        <w:spacing w:line="480" w:lineRule="auto"/>
        <w:jc w:val="both"/>
        <w:rPr>
          <w:rFonts w:ascii="Garamond" w:hAnsi="Garamond"/>
          <w:lang w:val="es-ES"/>
        </w:rPr>
      </w:pPr>
      <w:r w:rsidRPr="00BF7796">
        <w:rPr>
          <w:rFonts w:ascii="Garamond" w:hAnsi="Garamond"/>
          <w:lang w:val="es-ES"/>
        </w:rPr>
        <w:t xml:space="preserve">La mayoría de los estudios sobre los determinantes individuales de participación política se han enfocado en población adulta, ya socializada políticamente. Estos trabajos tienden a recurrir al modelo de recursos, oportunidades políticas, o disponibilidad biográfica. Los dos primeros son muy productivos para explicar participación, pero menos útiles para distinguir entre formas de participación. La disponibilidad biográfica es menos productiva cuando tienes una población etaria homogénea. </w:t>
      </w:r>
    </w:p>
    <w:p w14:paraId="7AF8B6EA" w14:textId="77777777" w:rsidR="00983D8D" w:rsidRPr="00BF7796" w:rsidRDefault="00983D8D" w:rsidP="004A50A6">
      <w:pPr>
        <w:spacing w:line="480" w:lineRule="auto"/>
        <w:jc w:val="both"/>
        <w:rPr>
          <w:rFonts w:ascii="Garamond" w:hAnsi="Garamond"/>
          <w:lang w:val="es-ES"/>
        </w:rPr>
      </w:pPr>
    </w:p>
    <w:p w14:paraId="1411F83B" w14:textId="4CDCA61E" w:rsidR="00983D8D" w:rsidRPr="00BF7796" w:rsidRDefault="00983D8D" w:rsidP="004A50A6">
      <w:pPr>
        <w:spacing w:line="480" w:lineRule="auto"/>
        <w:jc w:val="both"/>
        <w:rPr>
          <w:rFonts w:ascii="Garamond" w:hAnsi="Garamond"/>
          <w:lang w:val="es-ES"/>
        </w:rPr>
      </w:pPr>
      <w:r w:rsidRPr="00BF7796">
        <w:rPr>
          <w:rFonts w:ascii="Garamond" w:hAnsi="Garamond"/>
          <w:lang w:val="es-ES"/>
        </w:rPr>
        <w:lastRenderedPageBreak/>
        <w:t xml:space="preserve">En este trabajo nosotros recurrimos a la llamada Hipótesis de </w:t>
      </w:r>
      <w:proofErr w:type="spellStart"/>
      <w:r w:rsidRPr="00BF7796">
        <w:rPr>
          <w:rFonts w:ascii="Garamond" w:hAnsi="Garamond"/>
          <w:lang w:val="es-ES"/>
        </w:rPr>
        <w:t>Gamson</w:t>
      </w:r>
      <w:proofErr w:type="spellEnd"/>
      <w:r w:rsidRPr="00BF7796">
        <w:rPr>
          <w:rFonts w:ascii="Garamond" w:hAnsi="Garamond"/>
          <w:lang w:val="es-ES"/>
        </w:rPr>
        <w:t xml:space="preserve"> o </w:t>
      </w:r>
      <w:proofErr w:type="spellStart"/>
      <w:r w:rsidRPr="00BF7796">
        <w:rPr>
          <w:rFonts w:ascii="Garamond" w:hAnsi="Garamond"/>
          <w:lang w:val="es-ES"/>
        </w:rPr>
        <w:t>Mistrustful-Efficacious</w:t>
      </w:r>
      <w:proofErr w:type="spellEnd"/>
      <w:r w:rsidRPr="00BF7796">
        <w:rPr>
          <w:rFonts w:ascii="Garamond" w:hAnsi="Garamond"/>
          <w:lang w:val="es-ES"/>
        </w:rPr>
        <w:t xml:space="preserve"> </w:t>
      </w:r>
      <w:proofErr w:type="spellStart"/>
      <w:r w:rsidRPr="00BF7796">
        <w:rPr>
          <w:rFonts w:ascii="Garamond" w:hAnsi="Garamond"/>
          <w:lang w:val="es-ES"/>
        </w:rPr>
        <w:t>Hypothesis</w:t>
      </w:r>
      <w:proofErr w:type="spellEnd"/>
      <w:r w:rsidRPr="00BF7796">
        <w:rPr>
          <w:rFonts w:ascii="Garamond" w:hAnsi="Garamond"/>
          <w:lang w:val="es-ES"/>
        </w:rPr>
        <w:t xml:space="preserve">. En 1968, preocupado por </w:t>
      </w:r>
      <w:r w:rsidR="00112B3E" w:rsidRPr="00BF7796">
        <w:rPr>
          <w:rFonts w:ascii="Garamond" w:hAnsi="Garamond"/>
          <w:lang w:val="es-ES"/>
        </w:rPr>
        <w:t>el crecimiento</w:t>
      </w:r>
      <w:r w:rsidRPr="00BF7796">
        <w:rPr>
          <w:rFonts w:ascii="Garamond" w:hAnsi="Garamond"/>
          <w:lang w:val="es-ES"/>
        </w:rPr>
        <w:t xml:space="preserve"> movilización juvenil y la desconfianza en las instituciones en Estados Unidos, el sociólogo William </w:t>
      </w:r>
      <w:proofErr w:type="spellStart"/>
      <w:r w:rsidRPr="00BF7796">
        <w:rPr>
          <w:rFonts w:ascii="Garamond" w:hAnsi="Garamond"/>
          <w:lang w:val="es-ES"/>
        </w:rPr>
        <w:t>Gamson</w:t>
      </w:r>
      <w:proofErr w:type="spellEnd"/>
      <w:r w:rsidRPr="00BF7796">
        <w:rPr>
          <w:rFonts w:ascii="Garamond" w:hAnsi="Garamond"/>
          <w:lang w:val="es-ES"/>
        </w:rPr>
        <w:t xml:space="preserve"> propuso que la combinación óptima para la movilización más radical es una alta autoeficacia</w:t>
      </w:r>
      <w:r w:rsidR="00112B3E" w:rsidRPr="00BF7796">
        <w:rPr>
          <w:rFonts w:ascii="Garamond" w:hAnsi="Garamond"/>
          <w:lang w:val="es-ES"/>
        </w:rPr>
        <w:t xml:space="preserve"> con una baja confianza institucional. </w:t>
      </w:r>
    </w:p>
    <w:p w14:paraId="207A2DFE" w14:textId="75B78EAF" w:rsidR="00112B3E" w:rsidRPr="00BF7796" w:rsidRDefault="00112B3E" w:rsidP="004A50A6">
      <w:pPr>
        <w:spacing w:line="480" w:lineRule="auto"/>
        <w:jc w:val="both"/>
        <w:rPr>
          <w:rFonts w:ascii="Garamond" w:hAnsi="Garamond"/>
          <w:lang w:val="es-ES"/>
        </w:rPr>
      </w:pPr>
    </w:p>
    <w:p w14:paraId="2D47FD74" w14:textId="5E9C3E32" w:rsidR="00112B3E" w:rsidRPr="00BF7796" w:rsidRDefault="00112B3E" w:rsidP="004A50A6">
      <w:pPr>
        <w:spacing w:line="480" w:lineRule="auto"/>
        <w:jc w:val="both"/>
        <w:rPr>
          <w:rFonts w:ascii="Garamond" w:hAnsi="Garamond"/>
          <w:lang w:val="es-ES"/>
        </w:rPr>
      </w:pPr>
      <w:r w:rsidRPr="00BF7796">
        <w:rPr>
          <w:rFonts w:ascii="Garamond" w:hAnsi="Garamond"/>
          <w:lang w:val="es-ES"/>
        </w:rPr>
        <w:t xml:space="preserve">Nosotros probamos esta hipótesis en una muestra de estudiantes secundarios en 24 países. Nuestro objetivo no sólo es explorar si esta hipótesis </w:t>
      </w:r>
      <w:r w:rsidR="00D258BF" w:rsidRPr="00BF7796">
        <w:rPr>
          <w:rFonts w:ascii="Garamond" w:hAnsi="Garamond"/>
          <w:lang w:val="es-ES"/>
        </w:rPr>
        <w:t>nos ayuda a explicar no sólo niveles de participación sino también distinguir características asociadas a preferir uno u otra forma de participación.</w:t>
      </w:r>
    </w:p>
    <w:p w14:paraId="5F0FAEB3" w14:textId="77777777" w:rsidR="00D258BF" w:rsidRPr="00BF7796" w:rsidRDefault="00D258BF" w:rsidP="004A50A6">
      <w:pPr>
        <w:spacing w:line="480" w:lineRule="auto"/>
        <w:jc w:val="both"/>
        <w:rPr>
          <w:rFonts w:ascii="Garamond" w:hAnsi="Garamond"/>
          <w:lang w:val="es-ES"/>
        </w:rPr>
      </w:pPr>
    </w:p>
    <w:p w14:paraId="68C203D4" w14:textId="5FF621D4" w:rsidR="00D258BF" w:rsidRPr="00BF7796" w:rsidRDefault="00D258BF" w:rsidP="004A50A6">
      <w:pPr>
        <w:spacing w:line="480" w:lineRule="auto"/>
        <w:jc w:val="both"/>
        <w:rPr>
          <w:rFonts w:ascii="Garamond" w:hAnsi="Garamond"/>
          <w:lang w:val="en-US"/>
        </w:rPr>
      </w:pPr>
      <w:r w:rsidRPr="00BF7796">
        <w:rPr>
          <w:rFonts w:ascii="Garamond" w:hAnsi="Garamond"/>
          <w:lang w:val="en-US"/>
        </w:rPr>
        <w:t xml:space="preserve">Para </w:t>
      </w:r>
      <w:proofErr w:type="spellStart"/>
      <w:r w:rsidR="00651CB1" w:rsidRPr="00BF7796">
        <w:rPr>
          <w:rFonts w:ascii="Garamond" w:hAnsi="Garamond"/>
          <w:lang w:val="en-US"/>
        </w:rPr>
        <w:t>evaluar</w:t>
      </w:r>
      <w:proofErr w:type="spellEnd"/>
      <w:r w:rsidR="00651CB1" w:rsidRPr="00BF7796">
        <w:rPr>
          <w:rFonts w:ascii="Garamond" w:hAnsi="Garamond"/>
          <w:lang w:val="en-US"/>
        </w:rPr>
        <w:t xml:space="preserve"> </w:t>
      </w:r>
      <w:proofErr w:type="spellStart"/>
      <w:r w:rsidR="00651CB1" w:rsidRPr="00BF7796">
        <w:rPr>
          <w:rFonts w:ascii="Garamond" w:hAnsi="Garamond"/>
          <w:lang w:val="en-US"/>
        </w:rPr>
        <w:t>esta</w:t>
      </w:r>
      <w:proofErr w:type="spellEnd"/>
      <w:r w:rsidR="00651CB1" w:rsidRPr="00BF7796">
        <w:rPr>
          <w:rFonts w:ascii="Garamond" w:hAnsi="Garamond"/>
          <w:lang w:val="en-US"/>
        </w:rPr>
        <w:t xml:space="preserve"> </w:t>
      </w:r>
      <w:proofErr w:type="spellStart"/>
      <w:r w:rsidR="00651CB1" w:rsidRPr="00BF7796">
        <w:rPr>
          <w:rFonts w:ascii="Garamond" w:hAnsi="Garamond"/>
          <w:lang w:val="en-US"/>
        </w:rPr>
        <w:t>hipótesis</w:t>
      </w:r>
      <w:proofErr w:type="spellEnd"/>
      <w:r w:rsidR="00651CB1" w:rsidRPr="00BF7796">
        <w:rPr>
          <w:rFonts w:ascii="Garamond" w:hAnsi="Garamond"/>
          <w:lang w:val="en-US"/>
        </w:rPr>
        <w:t xml:space="preserve"> </w:t>
      </w:r>
      <w:proofErr w:type="spellStart"/>
      <w:r w:rsidR="00651CB1" w:rsidRPr="00BF7796">
        <w:rPr>
          <w:rFonts w:ascii="Garamond" w:hAnsi="Garamond"/>
          <w:lang w:val="en-US"/>
        </w:rPr>
        <w:t>nosotros</w:t>
      </w:r>
      <w:proofErr w:type="spellEnd"/>
      <w:r w:rsidR="00651CB1" w:rsidRPr="00BF7796">
        <w:rPr>
          <w:rFonts w:ascii="Garamond" w:hAnsi="Garamond"/>
          <w:lang w:val="en-US"/>
        </w:rPr>
        <w:t xml:space="preserve"> </w:t>
      </w:r>
      <w:proofErr w:type="spellStart"/>
      <w:r w:rsidR="00651CB1" w:rsidRPr="00BF7796">
        <w:rPr>
          <w:rFonts w:ascii="Garamond" w:hAnsi="Garamond"/>
          <w:lang w:val="en-US"/>
        </w:rPr>
        <w:t>empleamos</w:t>
      </w:r>
      <w:proofErr w:type="spellEnd"/>
      <w:r w:rsidR="00651CB1" w:rsidRPr="00BF7796">
        <w:rPr>
          <w:rFonts w:ascii="Garamond" w:hAnsi="Garamond"/>
          <w:lang w:val="en-US"/>
        </w:rPr>
        <w:t xml:space="preserve"> </w:t>
      </w:r>
      <w:r w:rsidR="00651CB1" w:rsidRPr="00BF7796">
        <w:rPr>
          <w:rFonts w:ascii="Garamond" w:hAnsi="Garamond"/>
          <w:lang w:val="en-US"/>
        </w:rPr>
        <w:t>the International Civic and Citizenship Education Study 2022 - ICCS, around 80000 students from 24 countries participated (Schulz, 2025)</w:t>
      </w:r>
      <w:r w:rsidR="00651CB1" w:rsidRPr="00BF7796">
        <w:rPr>
          <w:rFonts w:ascii="Garamond" w:hAnsi="Garamond"/>
          <w:lang w:val="en-US"/>
        </w:rPr>
        <w:t xml:space="preserve">. </w:t>
      </w:r>
      <w:r w:rsidR="00651CB1" w:rsidRPr="00BF7796">
        <w:rPr>
          <w:rFonts w:ascii="Garamond" w:hAnsi="Garamond"/>
          <w:lang w:val="en-US"/>
        </w:rPr>
        <w:t>The key independent variable is the "</w:t>
      </w:r>
      <w:proofErr w:type="spellStart"/>
      <w:r w:rsidR="00651CB1" w:rsidRPr="00BF7796">
        <w:rPr>
          <w:rFonts w:ascii="Garamond" w:hAnsi="Garamond"/>
          <w:lang w:val="en-US"/>
        </w:rPr>
        <w:t>Gamson</w:t>
      </w:r>
      <w:proofErr w:type="spellEnd"/>
      <w:r w:rsidR="00651CB1" w:rsidRPr="00BF7796">
        <w:rPr>
          <w:rFonts w:ascii="Garamond" w:hAnsi="Garamond"/>
          <w:lang w:val="en-US"/>
        </w:rPr>
        <w:t xml:space="preserve"> typology", created by combining high and low levels of self-efficacy with high and low levels of institutional trust. To achieve this, we use the scale Students' citizenship self-efficacy (S_ CITEFF) and Students' trust in civic institutions </w:t>
      </w:r>
      <w:r w:rsidR="00651CB1" w:rsidRPr="00BF7796">
        <w:rPr>
          <w:rFonts w:ascii="Garamond" w:eastAsia="Times New Roman" w:hAnsi="Garamond" w:cs="Times New Roman"/>
          <w:lang w:val="en-US"/>
        </w:rPr>
        <w:t>(S_INTRUST)</w:t>
      </w:r>
      <w:r w:rsidR="00651CB1" w:rsidRPr="00BF7796">
        <w:rPr>
          <w:rFonts w:ascii="Garamond" w:hAnsi="Garamond"/>
          <w:lang w:val="en-US"/>
        </w:rPr>
        <w:t>.</w:t>
      </w:r>
    </w:p>
    <w:p w14:paraId="1F52C9A7" w14:textId="77777777" w:rsidR="00651CB1" w:rsidRPr="00BF7796" w:rsidRDefault="00651CB1" w:rsidP="004A50A6">
      <w:pPr>
        <w:spacing w:line="480" w:lineRule="auto"/>
        <w:jc w:val="both"/>
        <w:rPr>
          <w:rFonts w:ascii="Garamond" w:hAnsi="Garamond"/>
          <w:lang w:val="en-US"/>
        </w:rPr>
      </w:pPr>
    </w:p>
    <w:p w14:paraId="762B0096" w14:textId="46A258EE" w:rsidR="00D82580" w:rsidRPr="00BF7796" w:rsidRDefault="00651CB1" w:rsidP="004A50A6">
      <w:pPr>
        <w:spacing w:line="480" w:lineRule="auto"/>
        <w:jc w:val="both"/>
        <w:rPr>
          <w:rFonts w:ascii="Garamond" w:hAnsi="Garamond"/>
          <w:lang w:val="es-CL"/>
        </w:rPr>
      </w:pPr>
      <w:r w:rsidRPr="00BF7796">
        <w:rPr>
          <w:rFonts w:ascii="Garamond" w:hAnsi="Garamond"/>
          <w:lang w:val="en-US"/>
        </w:rPr>
        <w:t>Once we have obtained self-efficacy and political confidence measures, we construct the "</w:t>
      </w:r>
      <w:proofErr w:type="spellStart"/>
      <w:r w:rsidRPr="00BF7796">
        <w:rPr>
          <w:rFonts w:ascii="Garamond" w:hAnsi="Garamond"/>
          <w:lang w:val="en-US"/>
        </w:rPr>
        <w:t>Gamson</w:t>
      </w:r>
      <w:proofErr w:type="spellEnd"/>
      <w:r w:rsidRPr="00BF7796">
        <w:rPr>
          <w:rFonts w:ascii="Garamond" w:hAnsi="Garamond"/>
          <w:lang w:val="en-US"/>
        </w:rPr>
        <w:t xml:space="preserve"> typology," consisting of four groups. To create this typology, we defined low and high levels of self-efficacy and political confidence using the 25% and 75% quartiles as cutoff points to categorize students within each group. Thus, those youth who scored above the 75% quartile on internal efficacy and below the 25% quartile on political confidence were categorized as "Dissidents." While respondents who scored above the 75% quartile on the efficacy and trust </w:t>
      </w:r>
      <w:r w:rsidRPr="00BF7796">
        <w:rPr>
          <w:rFonts w:ascii="Garamond" w:hAnsi="Garamond"/>
          <w:lang w:val="en-US"/>
        </w:rPr>
        <w:lastRenderedPageBreak/>
        <w:t>variables were labeled the "Assureds"</w:t>
      </w:r>
      <w:r w:rsidR="00BF7796" w:rsidRPr="00BF7796">
        <w:rPr>
          <w:rFonts w:ascii="Garamond" w:hAnsi="Garamond"/>
          <w:lang w:val="en-US"/>
        </w:rPr>
        <w:t xml:space="preserve"> o “</w:t>
      </w:r>
      <w:proofErr w:type="spellStart"/>
      <w:r w:rsidR="00BF7796" w:rsidRPr="00BF7796">
        <w:rPr>
          <w:rFonts w:ascii="Garamond" w:hAnsi="Garamond"/>
          <w:lang w:val="en-US"/>
        </w:rPr>
        <w:t>Leales</w:t>
      </w:r>
      <w:proofErr w:type="spellEnd"/>
      <w:r w:rsidR="00BF7796" w:rsidRPr="00BF7796">
        <w:rPr>
          <w:rFonts w:ascii="Garamond" w:hAnsi="Garamond"/>
          <w:lang w:val="en-US"/>
        </w:rPr>
        <w:t xml:space="preserve">”. </w:t>
      </w:r>
      <w:r w:rsidRPr="00BF7796">
        <w:rPr>
          <w:rFonts w:ascii="Garamond" w:hAnsi="Garamond"/>
          <w:lang w:val="en-US"/>
        </w:rPr>
        <w:t xml:space="preserve"> </w:t>
      </w:r>
      <w:proofErr w:type="spellStart"/>
      <w:r w:rsidRPr="00BF7796">
        <w:rPr>
          <w:rFonts w:ascii="Garamond" w:hAnsi="Garamond"/>
          <w:lang w:val="en-US"/>
        </w:rPr>
        <w:t>Después</w:t>
      </w:r>
      <w:proofErr w:type="spellEnd"/>
      <w:r w:rsidRPr="00BF7796">
        <w:rPr>
          <w:rFonts w:ascii="Garamond" w:hAnsi="Garamond"/>
          <w:lang w:val="en-US"/>
        </w:rPr>
        <w:t xml:space="preserve"> </w:t>
      </w:r>
      <w:proofErr w:type="spellStart"/>
      <w:r w:rsidRPr="00BF7796">
        <w:rPr>
          <w:rFonts w:ascii="Garamond" w:hAnsi="Garamond"/>
          <w:lang w:val="en-US"/>
        </w:rPr>
        <w:t>los</w:t>
      </w:r>
      <w:proofErr w:type="spellEnd"/>
      <w:r w:rsidRPr="00BF7796">
        <w:rPr>
          <w:rFonts w:ascii="Garamond" w:hAnsi="Garamond"/>
          <w:lang w:val="en-US"/>
        </w:rPr>
        <w:t xml:space="preserve"> “</w:t>
      </w:r>
      <w:proofErr w:type="spellStart"/>
      <w:r w:rsidRPr="00BF7796">
        <w:rPr>
          <w:rFonts w:ascii="Garamond" w:hAnsi="Garamond"/>
          <w:lang w:val="en-US"/>
        </w:rPr>
        <w:t>Alienados</w:t>
      </w:r>
      <w:proofErr w:type="spellEnd"/>
      <w:r w:rsidRPr="00BF7796">
        <w:rPr>
          <w:rFonts w:ascii="Garamond" w:hAnsi="Garamond"/>
          <w:lang w:val="en-US"/>
        </w:rPr>
        <w:t xml:space="preserve">” son </w:t>
      </w:r>
      <w:proofErr w:type="spellStart"/>
      <w:r w:rsidRPr="00BF7796">
        <w:rPr>
          <w:rFonts w:ascii="Garamond" w:hAnsi="Garamond"/>
          <w:lang w:val="en-US"/>
        </w:rPr>
        <w:t>aquellos</w:t>
      </w:r>
      <w:proofErr w:type="spellEnd"/>
      <w:r w:rsidRPr="00BF7796">
        <w:rPr>
          <w:rFonts w:ascii="Garamond" w:hAnsi="Garamond"/>
          <w:lang w:val="en-US"/>
        </w:rPr>
        <w:t xml:space="preserve"> que </w:t>
      </w:r>
      <w:proofErr w:type="spellStart"/>
      <w:r w:rsidR="00D82580" w:rsidRPr="00BF7796">
        <w:rPr>
          <w:rFonts w:ascii="Garamond" w:hAnsi="Garamond"/>
          <w:lang w:val="en-US"/>
        </w:rPr>
        <w:t>marcaron</w:t>
      </w:r>
      <w:proofErr w:type="spellEnd"/>
      <w:r w:rsidR="00D82580" w:rsidRPr="00BF7796">
        <w:rPr>
          <w:rFonts w:ascii="Garamond" w:hAnsi="Garamond"/>
          <w:lang w:val="en-US"/>
        </w:rPr>
        <w:t xml:space="preserve"> </w:t>
      </w:r>
      <w:proofErr w:type="spellStart"/>
      <w:r w:rsidR="00D82580" w:rsidRPr="00BF7796">
        <w:rPr>
          <w:rFonts w:ascii="Garamond" w:hAnsi="Garamond"/>
          <w:lang w:val="en-US"/>
        </w:rPr>
        <w:t>baja</w:t>
      </w:r>
      <w:proofErr w:type="spellEnd"/>
      <w:r w:rsidR="00D82580" w:rsidRPr="00BF7796">
        <w:rPr>
          <w:rFonts w:ascii="Garamond" w:hAnsi="Garamond"/>
          <w:lang w:val="en-US"/>
        </w:rPr>
        <w:t xml:space="preserve"> </w:t>
      </w:r>
      <w:proofErr w:type="spellStart"/>
      <w:r w:rsidR="00D82580" w:rsidRPr="00BF7796">
        <w:rPr>
          <w:rFonts w:ascii="Garamond" w:hAnsi="Garamond"/>
          <w:lang w:val="en-US"/>
        </w:rPr>
        <w:t>confianza</w:t>
      </w:r>
      <w:proofErr w:type="spellEnd"/>
      <w:r w:rsidR="00D82580" w:rsidRPr="00BF7796">
        <w:rPr>
          <w:rFonts w:ascii="Garamond" w:hAnsi="Garamond"/>
          <w:lang w:val="en-US"/>
        </w:rPr>
        <w:t xml:space="preserve"> y </w:t>
      </w:r>
      <w:proofErr w:type="spellStart"/>
      <w:r w:rsidR="00D82580" w:rsidRPr="00BF7796">
        <w:rPr>
          <w:rFonts w:ascii="Garamond" w:hAnsi="Garamond"/>
          <w:lang w:val="en-US"/>
        </w:rPr>
        <w:t>baja</w:t>
      </w:r>
      <w:proofErr w:type="spellEnd"/>
      <w:r w:rsidR="00D82580" w:rsidRPr="00BF7796">
        <w:rPr>
          <w:rFonts w:ascii="Garamond" w:hAnsi="Garamond"/>
          <w:lang w:val="en-US"/>
        </w:rPr>
        <w:t xml:space="preserve"> </w:t>
      </w:r>
      <w:proofErr w:type="spellStart"/>
      <w:r w:rsidR="00D82580" w:rsidRPr="00BF7796">
        <w:rPr>
          <w:rFonts w:ascii="Garamond" w:hAnsi="Garamond"/>
          <w:lang w:val="en-US"/>
        </w:rPr>
        <w:t>autoeficacia</w:t>
      </w:r>
      <w:proofErr w:type="spellEnd"/>
      <w:r w:rsidR="00D82580" w:rsidRPr="00BF7796">
        <w:rPr>
          <w:rFonts w:ascii="Garamond" w:hAnsi="Garamond"/>
          <w:lang w:val="en-US"/>
        </w:rPr>
        <w:t xml:space="preserve">. </w:t>
      </w:r>
      <w:r w:rsidR="00D82580" w:rsidRPr="00BF7796">
        <w:rPr>
          <w:rFonts w:ascii="Garamond" w:hAnsi="Garamond"/>
          <w:lang w:val="es-CL"/>
        </w:rPr>
        <w:t>Mientras que los “Subordinados”, el grupo menos común, son los que tienen alta confianza en las instituciones y baja autoeficacia. Finalmente, aquellos que marcaron niveles intermedios de confianza y autoeficacia los denominamos “moderados”</w:t>
      </w:r>
      <w:r w:rsidR="00EC3BDA" w:rsidRPr="00BF7796">
        <w:rPr>
          <w:rFonts w:ascii="Garamond" w:hAnsi="Garamond"/>
          <w:lang w:val="es-CL"/>
        </w:rPr>
        <w:t>.</w:t>
      </w:r>
    </w:p>
    <w:p w14:paraId="196A1C6E" w14:textId="77777777" w:rsidR="00EC3BDA" w:rsidRPr="00BF7796" w:rsidRDefault="00EC3BDA" w:rsidP="004A50A6">
      <w:pPr>
        <w:spacing w:line="480" w:lineRule="auto"/>
        <w:jc w:val="both"/>
        <w:rPr>
          <w:rFonts w:ascii="Garamond" w:hAnsi="Garamond"/>
          <w:lang w:val="es-CL"/>
        </w:rPr>
      </w:pPr>
    </w:p>
    <w:p w14:paraId="7AC2C053" w14:textId="3994BEBD" w:rsidR="00D82580" w:rsidRPr="00BF7796" w:rsidRDefault="00D82580" w:rsidP="004A50A6">
      <w:pPr>
        <w:spacing w:line="480" w:lineRule="auto"/>
        <w:jc w:val="both"/>
        <w:rPr>
          <w:rFonts w:ascii="Garamond" w:eastAsia="Times New Roman" w:hAnsi="Garamond" w:cs="Times New Roman"/>
          <w:lang w:val="en-US"/>
        </w:rPr>
      </w:pPr>
      <w:r w:rsidRPr="00BF7796">
        <w:rPr>
          <w:rFonts w:ascii="Garamond" w:hAnsi="Garamond"/>
          <w:lang w:val="es-CL"/>
        </w:rPr>
        <w:t xml:space="preserve">Las variables dependientes miden expectativas o disposición de participación política. </w:t>
      </w:r>
      <w:r w:rsidRPr="00BF7796">
        <w:rPr>
          <w:rFonts w:ascii="Garamond" w:hAnsi="Garamond"/>
          <w:lang w:val="en-US"/>
        </w:rPr>
        <w:t xml:space="preserve">La </w:t>
      </w:r>
      <w:proofErr w:type="spellStart"/>
      <w:r w:rsidRPr="00BF7796">
        <w:rPr>
          <w:rFonts w:ascii="Garamond" w:hAnsi="Garamond"/>
          <w:lang w:val="en-US"/>
        </w:rPr>
        <w:t>primera</w:t>
      </w:r>
      <w:proofErr w:type="spellEnd"/>
      <w:r w:rsidRPr="00BF7796">
        <w:rPr>
          <w:rFonts w:ascii="Garamond" w:hAnsi="Garamond"/>
          <w:lang w:val="en-US"/>
        </w:rPr>
        <w:t xml:space="preserve"> es </w:t>
      </w:r>
      <w:r w:rsidRPr="00BF7796">
        <w:rPr>
          <w:rFonts w:ascii="Garamond" w:eastAsia="Times New Roman" w:hAnsi="Garamond" w:cs="Times New Roman"/>
          <w:i/>
          <w:lang w:val="en-US"/>
        </w:rPr>
        <w:t>students' expected participation in legal activities</w:t>
      </w:r>
      <w:r w:rsidRPr="00BF7796">
        <w:rPr>
          <w:rFonts w:ascii="Garamond" w:eastAsia="Times New Roman" w:hAnsi="Garamond" w:cs="Times New Roman"/>
          <w:lang w:val="en-US"/>
        </w:rPr>
        <w:t xml:space="preserve"> (S_LEGACT), composed of various items that ask whether the students </w:t>
      </w:r>
      <w:r w:rsidRPr="00BF7796">
        <w:rPr>
          <w:rFonts w:ascii="Garamond" w:eastAsia="Times New Roman" w:hAnsi="Garamond" w:cs="Times New Roman"/>
          <w:lang w:val="en-US"/>
        </w:rPr>
        <w:t>have</w:t>
      </w:r>
      <w:r w:rsidRPr="00BF7796">
        <w:rPr>
          <w:rFonts w:ascii="Garamond" w:eastAsia="Times New Roman" w:hAnsi="Garamond" w:cs="Times New Roman"/>
          <w:lang w:val="en-US"/>
        </w:rPr>
        <w:t xml:space="preserve"> the intention to participate in different actions</w:t>
      </w:r>
      <w:r w:rsidRPr="00BF7796">
        <w:rPr>
          <w:rFonts w:ascii="Garamond" w:eastAsia="Times New Roman" w:hAnsi="Garamond" w:cs="Times New Roman"/>
          <w:lang w:val="en-US"/>
        </w:rPr>
        <w:t>. L</w:t>
      </w:r>
      <w:r w:rsidR="00EC3BDA" w:rsidRPr="00BF7796">
        <w:rPr>
          <w:rFonts w:ascii="Garamond" w:eastAsia="Times New Roman" w:hAnsi="Garamond" w:cs="Times New Roman"/>
          <w:lang w:val="en-US"/>
        </w:rPr>
        <w:t xml:space="preserve">a </w:t>
      </w:r>
      <w:proofErr w:type="spellStart"/>
      <w:r w:rsidR="00EC3BDA" w:rsidRPr="00BF7796">
        <w:rPr>
          <w:rFonts w:ascii="Garamond" w:eastAsia="Times New Roman" w:hAnsi="Garamond" w:cs="Times New Roman"/>
          <w:lang w:val="en-US"/>
        </w:rPr>
        <w:t>segunda</w:t>
      </w:r>
      <w:proofErr w:type="spellEnd"/>
      <w:r w:rsidR="00EC3BDA" w:rsidRPr="00BF7796">
        <w:rPr>
          <w:rFonts w:ascii="Garamond" w:eastAsia="Times New Roman" w:hAnsi="Garamond" w:cs="Times New Roman"/>
          <w:lang w:val="en-US"/>
        </w:rPr>
        <w:t xml:space="preserve"> variable </w:t>
      </w:r>
      <w:proofErr w:type="spellStart"/>
      <w:r w:rsidR="00EC3BDA" w:rsidRPr="00BF7796">
        <w:rPr>
          <w:rFonts w:ascii="Garamond" w:eastAsia="Times New Roman" w:hAnsi="Garamond" w:cs="Times New Roman"/>
          <w:lang w:val="en-US"/>
        </w:rPr>
        <w:t>dependiente</w:t>
      </w:r>
      <w:proofErr w:type="spellEnd"/>
      <w:r w:rsidRPr="00BF7796">
        <w:rPr>
          <w:rFonts w:ascii="Garamond" w:eastAsia="Times New Roman" w:hAnsi="Garamond" w:cs="Times New Roman"/>
          <w:lang w:val="en-US"/>
        </w:rPr>
        <w:t xml:space="preserve"> </w:t>
      </w:r>
      <w:r w:rsidR="00EC3BDA" w:rsidRPr="00BF7796">
        <w:rPr>
          <w:rFonts w:ascii="Garamond" w:eastAsia="Times New Roman" w:hAnsi="Garamond" w:cs="Times New Roman"/>
          <w:lang w:val="en-US"/>
        </w:rPr>
        <w:t xml:space="preserve">is </w:t>
      </w:r>
      <w:r w:rsidR="00EC3BDA" w:rsidRPr="00BF7796">
        <w:rPr>
          <w:rFonts w:ascii="Garamond" w:eastAsia="Times New Roman" w:hAnsi="Garamond" w:cs="Times New Roman"/>
          <w:i/>
          <w:lang w:val="en-US"/>
        </w:rPr>
        <w:t>students' expected participation in illegal protest activities</w:t>
      </w:r>
      <w:r w:rsidR="00EC3BDA" w:rsidRPr="00BF7796">
        <w:rPr>
          <w:rFonts w:ascii="Garamond" w:eastAsia="Times New Roman" w:hAnsi="Garamond" w:cs="Times New Roman"/>
          <w:lang w:val="en-US"/>
        </w:rPr>
        <w:t xml:space="preserve"> (S_ILLACT)</w:t>
      </w:r>
      <w:r w:rsidR="00EC3BDA" w:rsidRPr="00BF7796">
        <w:rPr>
          <w:rFonts w:ascii="Garamond" w:eastAsia="Times New Roman" w:hAnsi="Garamond" w:cs="Times New Roman"/>
          <w:lang w:val="en-US"/>
        </w:rPr>
        <w:t>.</w:t>
      </w:r>
    </w:p>
    <w:p w14:paraId="7B768949" w14:textId="77777777" w:rsidR="00EC3BDA" w:rsidRPr="00BF7796" w:rsidRDefault="00EC3BDA" w:rsidP="004A50A6">
      <w:pPr>
        <w:spacing w:line="480" w:lineRule="auto"/>
        <w:jc w:val="both"/>
        <w:rPr>
          <w:rFonts w:ascii="Garamond" w:eastAsia="Times New Roman" w:hAnsi="Garamond" w:cs="Times New Roman"/>
          <w:lang w:val="en-US"/>
        </w:rPr>
      </w:pPr>
    </w:p>
    <w:p w14:paraId="26F13727" w14:textId="46B67C51" w:rsidR="00EC3BDA" w:rsidRPr="00BF7796" w:rsidRDefault="00EC3BDA" w:rsidP="00EC3BDA">
      <w:pPr>
        <w:spacing w:line="480" w:lineRule="auto"/>
        <w:ind w:firstLine="708"/>
        <w:jc w:val="both"/>
        <w:rPr>
          <w:rFonts w:ascii="Garamond" w:eastAsia="Times New Roman" w:hAnsi="Garamond" w:cs="Times New Roman"/>
          <w:lang w:val="en-US"/>
        </w:rPr>
      </w:pPr>
      <w:r w:rsidRPr="00BF7796">
        <w:rPr>
          <w:rFonts w:ascii="Garamond" w:eastAsia="Times New Roman" w:hAnsi="Garamond" w:cs="Times New Roman"/>
          <w:lang w:val="en-US"/>
        </w:rPr>
        <w:t>We estimate a series of</w:t>
      </w:r>
      <w:r w:rsidRPr="00BF7796">
        <w:rPr>
          <w:rFonts w:ascii="Garamond" w:eastAsia="Times New Roman" w:hAnsi="Garamond" w:cs="Times New Roman"/>
          <w:lang w:val="en-US"/>
        </w:rPr>
        <w:t xml:space="preserve"> multilevel</w:t>
      </w:r>
      <w:r w:rsidRPr="00BF7796">
        <w:rPr>
          <w:rFonts w:ascii="Garamond" w:eastAsia="Times New Roman" w:hAnsi="Garamond" w:cs="Times New Roman"/>
          <w:lang w:val="en-US"/>
        </w:rPr>
        <w:t xml:space="preserve"> linear regression models to evaluate the hypothesis to assess the relationship between </w:t>
      </w:r>
      <w:proofErr w:type="spellStart"/>
      <w:r w:rsidRPr="00BF7796">
        <w:rPr>
          <w:rFonts w:ascii="Garamond" w:eastAsia="Times New Roman" w:hAnsi="Garamond" w:cs="Times New Roman"/>
          <w:lang w:val="en-US"/>
        </w:rPr>
        <w:t>Gamson´s</w:t>
      </w:r>
      <w:proofErr w:type="spellEnd"/>
      <w:r w:rsidRPr="00BF7796">
        <w:rPr>
          <w:rFonts w:ascii="Garamond" w:eastAsia="Times New Roman" w:hAnsi="Garamond" w:cs="Times New Roman"/>
          <w:lang w:val="en-US"/>
        </w:rPr>
        <w:t xml:space="preserve"> typology and political participation types. In all analyses, the reference category </w:t>
      </w:r>
      <w:r w:rsidRPr="00BF7796">
        <w:rPr>
          <w:rFonts w:ascii="Garamond" w:eastAsia="Times New Roman" w:hAnsi="Garamond" w:cs="Times New Roman"/>
          <w:lang w:val="en-US"/>
        </w:rPr>
        <w:t>is</w:t>
      </w:r>
      <w:r w:rsidRPr="00BF7796">
        <w:rPr>
          <w:rFonts w:ascii="Garamond" w:eastAsia="Times New Roman" w:hAnsi="Garamond" w:cs="Times New Roman"/>
          <w:lang w:val="en-US"/>
        </w:rPr>
        <w:t xml:space="preserve"> "Moderates." Any significant difference observed in each category within the "</w:t>
      </w:r>
      <w:proofErr w:type="spellStart"/>
      <w:r w:rsidRPr="00BF7796">
        <w:rPr>
          <w:rFonts w:ascii="Garamond" w:eastAsia="Times New Roman" w:hAnsi="Garamond" w:cs="Times New Roman"/>
          <w:lang w:val="en-US"/>
        </w:rPr>
        <w:t>Gamson</w:t>
      </w:r>
      <w:proofErr w:type="spellEnd"/>
      <w:r w:rsidRPr="00BF7796">
        <w:rPr>
          <w:rFonts w:ascii="Garamond" w:eastAsia="Times New Roman" w:hAnsi="Garamond" w:cs="Times New Roman"/>
          <w:lang w:val="en-US"/>
        </w:rPr>
        <w:t xml:space="preserve"> typology" should be interpreted as a difference </w:t>
      </w:r>
      <w:r w:rsidRPr="00BF7796">
        <w:rPr>
          <w:rFonts w:ascii="Garamond" w:eastAsia="Times New Roman" w:hAnsi="Garamond" w:cs="Times New Roman"/>
          <w:lang w:val="en-US"/>
        </w:rPr>
        <w:t>with</w:t>
      </w:r>
      <w:r w:rsidRPr="00BF7796">
        <w:rPr>
          <w:rFonts w:ascii="Garamond" w:eastAsia="Times New Roman" w:hAnsi="Garamond" w:cs="Times New Roman"/>
          <w:lang w:val="en-US"/>
        </w:rPr>
        <w:t xml:space="preserve"> the more typical </w:t>
      </w:r>
      <w:r w:rsidRPr="00BF7796">
        <w:rPr>
          <w:rFonts w:ascii="Garamond" w:eastAsia="Times New Roman" w:hAnsi="Garamond" w:cs="Times New Roman"/>
          <w:lang w:val="en-US"/>
        </w:rPr>
        <w:t xml:space="preserve">or average </w:t>
      </w:r>
      <w:r w:rsidRPr="00BF7796">
        <w:rPr>
          <w:rFonts w:ascii="Garamond" w:eastAsia="Times New Roman" w:hAnsi="Garamond" w:cs="Times New Roman"/>
          <w:lang w:val="en-US"/>
        </w:rPr>
        <w:t>group. The absence of a statistically significant association would imply that this category is not different from the "average" group concerning each specific type of participation.</w:t>
      </w:r>
    </w:p>
    <w:p w14:paraId="69787F4C" w14:textId="4902B530" w:rsidR="00EC3BDA" w:rsidRPr="00BF7796" w:rsidRDefault="00EC3BDA" w:rsidP="00EC3BDA">
      <w:pPr>
        <w:spacing w:line="480" w:lineRule="auto"/>
        <w:ind w:firstLine="708"/>
        <w:jc w:val="both"/>
        <w:rPr>
          <w:rFonts w:ascii="Garamond" w:eastAsia="Times New Roman" w:hAnsi="Garamond" w:cs="Times New Roman"/>
          <w:lang w:val="es-CL"/>
        </w:rPr>
      </w:pPr>
      <w:r w:rsidRPr="00BF7796">
        <w:rPr>
          <w:rFonts w:ascii="Garamond" w:eastAsia="Times New Roman" w:hAnsi="Garamond" w:cs="Times New Roman"/>
          <w:lang w:val="es-CL"/>
        </w:rPr>
        <w:t xml:space="preserve">Esta figura muestra los resultados para expectativa de participación legal por país para la tipología de </w:t>
      </w:r>
      <w:proofErr w:type="spellStart"/>
      <w:r w:rsidRPr="00BF7796">
        <w:rPr>
          <w:rFonts w:ascii="Garamond" w:eastAsia="Times New Roman" w:hAnsi="Garamond" w:cs="Times New Roman"/>
          <w:lang w:val="es-CL"/>
        </w:rPr>
        <w:t>Gamson</w:t>
      </w:r>
      <w:proofErr w:type="spellEnd"/>
      <w:r w:rsidRPr="00BF7796">
        <w:rPr>
          <w:rFonts w:ascii="Garamond" w:eastAsia="Times New Roman" w:hAnsi="Garamond" w:cs="Times New Roman"/>
          <w:lang w:val="es-CL"/>
        </w:rPr>
        <w:t xml:space="preserve">. Los grupos dentro de cuadro rojo corresponden a los </w:t>
      </w:r>
      <w:proofErr w:type="spellStart"/>
      <w:r w:rsidRPr="00BF7796">
        <w:rPr>
          <w:rFonts w:ascii="Garamond" w:eastAsia="Times New Roman" w:hAnsi="Garamond" w:cs="Times New Roman"/>
          <w:lang w:val="es-CL"/>
        </w:rPr>
        <w:t>assured</w:t>
      </w:r>
      <w:proofErr w:type="spellEnd"/>
      <w:r w:rsidRPr="00BF7796">
        <w:rPr>
          <w:rFonts w:ascii="Garamond" w:eastAsia="Times New Roman" w:hAnsi="Garamond" w:cs="Times New Roman"/>
          <w:lang w:val="es-CL"/>
        </w:rPr>
        <w:t xml:space="preserve"> y los disidentes. Estos son los grupos más eficaces y como esperábamos son los grupos con mayores expectativas de participación. Hay ciertas diferentes entre los países, pero observamos </w:t>
      </w:r>
      <w:r w:rsidR="00BE1FC6" w:rsidRPr="00BF7796">
        <w:rPr>
          <w:rFonts w:ascii="Garamond" w:eastAsia="Times New Roman" w:hAnsi="Garamond" w:cs="Times New Roman"/>
          <w:lang w:val="es-CL"/>
        </w:rPr>
        <w:t xml:space="preserve">un patrón muy similar. Los asegurados, como sostiene la hipótesis de </w:t>
      </w:r>
      <w:proofErr w:type="spellStart"/>
      <w:r w:rsidR="00BE1FC6" w:rsidRPr="00BF7796">
        <w:rPr>
          <w:rFonts w:ascii="Garamond" w:eastAsia="Times New Roman" w:hAnsi="Garamond" w:cs="Times New Roman"/>
          <w:lang w:val="es-CL"/>
        </w:rPr>
        <w:t>Gamson</w:t>
      </w:r>
      <w:proofErr w:type="spellEnd"/>
      <w:r w:rsidR="00BE1FC6" w:rsidRPr="00BF7796">
        <w:rPr>
          <w:rFonts w:ascii="Garamond" w:eastAsia="Times New Roman" w:hAnsi="Garamond" w:cs="Times New Roman"/>
          <w:lang w:val="es-CL"/>
        </w:rPr>
        <w:t>, son más propensos a querer participar en acciones legales o convencionales.</w:t>
      </w:r>
    </w:p>
    <w:p w14:paraId="7CAC100D" w14:textId="2D100D80" w:rsidR="00BE1FC6" w:rsidRDefault="00BE1FC6" w:rsidP="00EC3BDA">
      <w:pPr>
        <w:spacing w:line="480" w:lineRule="auto"/>
        <w:ind w:firstLine="708"/>
        <w:jc w:val="both"/>
        <w:rPr>
          <w:rFonts w:ascii="Garamond" w:eastAsia="Times New Roman" w:hAnsi="Garamond" w:cs="Times New Roman"/>
          <w:lang w:val="es-CL"/>
        </w:rPr>
      </w:pPr>
      <w:r w:rsidRPr="00BF7796">
        <w:rPr>
          <w:rFonts w:ascii="Garamond" w:eastAsia="Times New Roman" w:hAnsi="Garamond" w:cs="Times New Roman"/>
          <w:lang w:val="es-CL"/>
        </w:rPr>
        <w:lastRenderedPageBreak/>
        <w:t xml:space="preserve">Por otro lado, con respecto a las expectativas de participación ilegal, observamos un resultado muy similar. </w:t>
      </w:r>
      <w:proofErr w:type="spellStart"/>
      <w:r w:rsidRPr="00BF7796">
        <w:rPr>
          <w:rFonts w:ascii="Garamond" w:eastAsia="Times New Roman" w:hAnsi="Garamond" w:cs="Times New Roman"/>
          <w:lang w:val="es-CL"/>
        </w:rPr>
        <w:t>Assureds</w:t>
      </w:r>
      <w:proofErr w:type="spellEnd"/>
      <w:r w:rsidRPr="00BF7796">
        <w:rPr>
          <w:rFonts w:ascii="Garamond" w:eastAsia="Times New Roman" w:hAnsi="Garamond" w:cs="Times New Roman"/>
          <w:lang w:val="es-CL"/>
        </w:rPr>
        <w:t xml:space="preserve"> y Disidentes presentan mayores expectativas </w:t>
      </w:r>
      <w:r w:rsidR="00BF7796" w:rsidRPr="00BF7796">
        <w:rPr>
          <w:rFonts w:ascii="Garamond" w:eastAsia="Times New Roman" w:hAnsi="Garamond" w:cs="Times New Roman"/>
          <w:lang w:val="es-CL"/>
        </w:rPr>
        <w:t>d</w:t>
      </w:r>
      <w:r w:rsidRPr="00BF7796">
        <w:rPr>
          <w:rFonts w:ascii="Garamond" w:eastAsia="Times New Roman" w:hAnsi="Garamond" w:cs="Times New Roman"/>
          <w:lang w:val="es-CL"/>
        </w:rPr>
        <w:t xml:space="preserve">e participación </w:t>
      </w:r>
      <w:r w:rsidR="00BF7796" w:rsidRPr="00BF7796">
        <w:rPr>
          <w:rFonts w:ascii="Garamond" w:eastAsia="Times New Roman" w:hAnsi="Garamond" w:cs="Times New Roman"/>
          <w:lang w:val="es-CL"/>
        </w:rPr>
        <w:t>ilegal</w:t>
      </w:r>
      <w:r w:rsidR="00BF7796">
        <w:rPr>
          <w:rFonts w:ascii="Garamond" w:eastAsia="Times New Roman" w:hAnsi="Garamond" w:cs="Times New Roman"/>
          <w:lang w:val="es-CL"/>
        </w:rPr>
        <w:t xml:space="preserve"> (con excepción de Dinamarca)</w:t>
      </w:r>
      <w:r w:rsidR="00BF7796" w:rsidRPr="00BF7796">
        <w:rPr>
          <w:rFonts w:ascii="Garamond" w:eastAsia="Times New Roman" w:hAnsi="Garamond" w:cs="Times New Roman"/>
          <w:lang w:val="es-CL"/>
        </w:rPr>
        <w:t xml:space="preserve">. Sin embargo, contrario a la hipótesis planteada, no son los disidentes, es decir los más cínicos hacia las instituciones, aquellos con mayor expectativas de participación en este tipo de acciones, sino los más confiados, es decir los Asegurados o Leales. </w:t>
      </w:r>
    </w:p>
    <w:p w14:paraId="07C62EA6" w14:textId="77777777" w:rsidR="00BF7796" w:rsidRDefault="00BF7796" w:rsidP="00284899">
      <w:pPr>
        <w:spacing w:line="480" w:lineRule="auto"/>
        <w:jc w:val="both"/>
        <w:rPr>
          <w:rFonts w:ascii="Garamond" w:eastAsia="Times New Roman" w:hAnsi="Garamond" w:cs="Times New Roman"/>
          <w:lang w:val="es-CL"/>
        </w:rPr>
      </w:pPr>
    </w:p>
    <w:p w14:paraId="2EA63CF2" w14:textId="765C01A5" w:rsidR="00284899" w:rsidRDefault="00BF7796" w:rsidP="00EC3BDA">
      <w:pPr>
        <w:spacing w:line="480" w:lineRule="auto"/>
        <w:ind w:firstLine="708"/>
        <w:jc w:val="both"/>
        <w:rPr>
          <w:rFonts w:ascii="Garamond" w:eastAsia="Times New Roman" w:hAnsi="Garamond" w:cs="Times New Roman"/>
          <w:lang w:val="es-CL"/>
        </w:rPr>
      </w:pPr>
      <w:r>
        <w:rPr>
          <w:rFonts w:ascii="Garamond" w:eastAsia="Times New Roman" w:hAnsi="Garamond" w:cs="Times New Roman"/>
          <w:lang w:val="es-CL"/>
        </w:rPr>
        <w:t xml:space="preserve">Nosotros realizamos un estudio similar para estudiantes chilenos, y nuestros resultados fueron mucho más consistentes con la hipótesis de </w:t>
      </w:r>
      <w:proofErr w:type="spellStart"/>
      <w:r>
        <w:rPr>
          <w:rFonts w:ascii="Garamond" w:eastAsia="Times New Roman" w:hAnsi="Garamond" w:cs="Times New Roman"/>
          <w:lang w:val="es-CL"/>
        </w:rPr>
        <w:t>Gamson</w:t>
      </w:r>
      <w:proofErr w:type="spellEnd"/>
      <w:r>
        <w:rPr>
          <w:rFonts w:ascii="Garamond" w:eastAsia="Times New Roman" w:hAnsi="Garamond" w:cs="Times New Roman"/>
          <w:lang w:val="es-CL"/>
        </w:rPr>
        <w:t xml:space="preserve">. Es decir los asegurados participaron en mayor medida que el resto de los grupos en acciones legales o convencionales, mientras que los disidentes </w:t>
      </w:r>
      <w:r w:rsidR="00C123B7">
        <w:rPr>
          <w:rFonts w:ascii="Garamond" w:eastAsia="Times New Roman" w:hAnsi="Garamond" w:cs="Times New Roman"/>
          <w:lang w:val="es-CL"/>
        </w:rPr>
        <w:t xml:space="preserve">participaron en mayor medida en acciones más radicales. En este sentido, creemos que una diferencia importante puede ser que mientras en Chile estudiamos participación efectiva, en esta oportunidad estudiamos expectativas de participación. De este modo, es posible que los jóvenes tiendan a sobre estimar sus propias expectativas de participación. </w:t>
      </w:r>
      <w:r w:rsidR="00284899">
        <w:rPr>
          <w:rFonts w:ascii="Garamond" w:eastAsia="Times New Roman" w:hAnsi="Garamond" w:cs="Times New Roman"/>
          <w:lang w:val="es-CL"/>
        </w:rPr>
        <w:t xml:space="preserve">En esta línea, la formación de expectativas de participación esta relacionada con la percepción de legitimidad de estas acciones. Los grupos más auto-eficaces, independiente de su grado de confianza en las instituciones, tienden a considerar como normativamente aceptable involucrarse políticamente de todas las formas posibles. De algún modo, esto va en línea con algunos estudios que en población adulta ha mostrado una creciente correlación positiva entre la </w:t>
      </w:r>
      <w:r w:rsidR="00D24CB9">
        <w:rPr>
          <w:rFonts w:ascii="Garamond" w:eastAsia="Times New Roman" w:hAnsi="Garamond" w:cs="Times New Roman"/>
          <w:lang w:val="es-CL"/>
        </w:rPr>
        <w:t xml:space="preserve">participación en protestas y la participación electoral. </w:t>
      </w:r>
    </w:p>
    <w:p w14:paraId="28E454A4" w14:textId="77777777" w:rsidR="00D24CB9" w:rsidRDefault="00D24CB9" w:rsidP="00EC3BDA">
      <w:pPr>
        <w:spacing w:line="480" w:lineRule="auto"/>
        <w:ind w:firstLine="708"/>
        <w:jc w:val="both"/>
        <w:rPr>
          <w:rFonts w:ascii="Garamond" w:eastAsia="Times New Roman" w:hAnsi="Garamond" w:cs="Times New Roman"/>
          <w:lang w:val="es-CL"/>
        </w:rPr>
      </w:pPr>
    </w:p>
    <w:p w14:paraId="5E0B149A" w14:textId="00C5F73C" w:rsidR="00D24CB9" w:rsidRDefault="00D24CB9" w:rsidP="00D24CB9">
      <w:pPr>
        <w:spacing w:line="480" w:lineRule="auto"/>
        <w:ind w:firstLine="708"/>
        <w:jc w:val="both"/>
        <w:rPr>
          <w:rFonts w:ascii="Garamond" w:eastAsia="Times New Roman" w:hAnsi="Garamond" w:cs="Times New Roman"/>
          <w:lang w:val="es-CL"/>
        </w:rPr>
      </w:pPr>
      <w:r>
        <w:rPr>
          <w:rFonts w:ascii="Garamond" w:eastAsia="Times New Roman" w:hAnsi="Garamond" w:cs="Times New Roman"/>
          <w:lang w:val="es-CL"/>
        </w:rPr>
        <w:t xml:space="preserve">Una excepción al respecto ha sido justamente Chile. El lugar donde testeamos previamente la hipótesis de </w:t>
      </w:r>
      <w:proofErr w:type="spellStart"/>
      <w:r>
        <w:rPr>
          <w:rFonts w:ascii="Garamond" w:eastAsia="Times New Roman" w:hAnsi="Garamond" w:cs="Times New Roman"/>
          <w:lang w:val="es-CL"/>
        </w:rPr>
        <w:t>Gamson</w:t>
      </w:r>
      <w:proofErr w:type="spellEnd"/>
      <w:r>
        <w:rPr>
          <w:rFonts w:ascii="Garamond" w:eastAsia="Times New Roman" w:hAnsi="Garamond" w:cs="Times New Roman"/>
          <w:lang w:val="es-CL"/>
        </w:rPr>
        <w:t xml:space="preserve">. En este sentido, otra posible explicación estos resultado puede tener que ver con el contexto </w:t>
      </w:r>
      <w:proofErr w:type="spellStart"/>
      <w:r>
        <w:rPr>
          <w:rFonts w:ascii="Garamond" w:eastAsia="Times New Roman" w:hAnsi="Garamond" w:cs="Times New Roman"/>
          <w:lang w:val="es-CL"/>
        </w:rPr>
        <w:t>sociopolitico</w:t>
      </w:r>
      <w:proofErr w:type="spellEnd"/>
      <w:r>
        <w:rPr>
          <w:rFonts w:ascii="Garamond" w:eastAsia="Times New Roman" w:hAnsi="Garamond" w:cs="Times New Roman"/>
          <w:lang w:val="es-CL"/>
        </w:rPr>
        <w:t xml:space="preserve"> e institucional. Cuando investigamos Chile, lo hicimos en medio del “estallido social”, con estudiantes más radicalizados y enfrentando no </w:t>
      </w:r>
      <w:r>
        <w:rPr>
          <w:rFonts w:ascii="Garamond" w:eastAsia="Times New Roman" w:hAnsi="Garamond" w:cs="Times New Roman"/>
          <w:lang w:val="es-CL"/>
        </w:rPr>
        <w:lastRenderedPageBreak/>
        <w:t xml:space="preserve">expectativas de participación sino teniendo que decidir derechamente si involucrarse o no.  Si bien, en esta ocasión no lo exploramos en profundidad, este gráfico muestra los </w:t>
      </w:r>
      <w:proofErr w:type="spellStart"/>
      <w:r>
        <w:rPr>
          <w:rFonts w:ascii="Garamond" w:eastAsia="Times New Roman" w:hAnsi="Garamond" w:cs="Times New Roman"/>
          <w:lang w:val="es-CL"/>
        </w:rPr>
        <w:t>interceptos</w:t>
      </w:r>
      <w:proofErr w:type="spellEnd"/>
      <w:r>
        <w:rPr>
          <w:rFonts w:ascii="Garamond" w:eastAsia="Times New Roman" w:hAnsi="Garamond" w:cs="Times New Roman"/>
          <w:lang w:val="es-CL"/>
        </w:rPr>
        <w:t xml:space="preserve"> aleatorios de expectativas de participación legal e ilegal. Como se puede ver, existe </w:t>
      </w:r>
      <w:proofErr w:type="spellStart"/>
      <w:r>
        <w:rPr>
          <w:rFonts w:ascii="Garamond" w:eastAsia="Times New Roman" w:hAnsi="Garamond" w:cs="Times New Roman"/>
          <w:lang w:val="es-CL"/>
        </w:rPr>
        <w:t>una a</w:t>
      </w:r>
      <w:proofErr w:type="spellEnd"/>
      <w:r>
        <w:rPr>
          <w:rFonts w:ascii="Garamond" w:eastAsia="Times New Roman" w:hAnsi="Garamond" w:cs="Times New Roman"/>
          <w:lang w:val="es-CL"/>
        </w:rPr>
        <w:t xml:space="preserve">mplia variación en las expectativas de participación legal e ilegal, de acuerdo. Lo que nos sugiere que también debemos explorar explicaciones de carácter más contextual que nos ayuden a entender la formación en las expectativas de participación política </w:t>
      </w:r>
      <w:r w:rsidR="006B35AD">
        <w:rPr>
          <w:rFonts w:ascii="Garamond" w:eastAsia="Times New Roman" w:hAnsi="Garamond" w:cs="Times New Roman"/>
          <w:lang w:val="es-CL"/>
        </w:rPr>
        <w:t xml:space="preserve">juvenil alrededor del mundo. </w:t>
      </w:r>
    </w:p>
    <w:p w14:paraId="04DAC500" w14:textId="52EECFC9" w:rsidR="00284899" w:rsidRDefault="00284899" w:rsidP="00EC3BDA">
      <w:pPr>
        <w:spacing w:line="480" w:lineRule="auto"/>
        <w:ind w:firstLine="708"/>
        <w:jc w:val="both"/>
        <w:rPr>
          <w:rFonts w:ascii="Garamond" w:eastAsia="Times New Roman" w:hAnsi="Garamond" w:cs="Times New Roman"/>
          <w:lang w:val="es-CL"/>
        </w:rPr>
      </w:pPr>
      <w:r>
        <w:rPr>
          <w:rFonts w:ascii="Garamond" w:eastAsia="Times New Roman" w:hAnsi="Garamond" w:cs="Times New Roman"/>
          <w:lang w:val="es-CL"/>
        </w:rPr>
        <w:t xml:space="preserve"> </w:t>
      </w:r>
    </w:p>
    <w:p w14:paraId="5A2592C7" w14:textId="77777777" w:rsidR="00EC3BDA" w:rsidRPr="00BF7796" w:rsidRDefault="00EC3BDA" w:rsidP="004A50A6">
      <w:pPr>
        <w:spacing w:line="480" w:lineRule="auto"/>
        <w:jc w:val="both"/>
        <w:rPr>
          <w:rFonts w:ascii="Garamond" w:eastAsia="Times New Roman" w:hAnsi="Garamond" w:cs="Times New Roman"/>
          <w:lang w:val="es-CL"/>
        </w:rPr>
      </w:pPr>
    </w:p>
    <w:p w14:paraId="4585D86E" w14:textId="60B4B5B5" w:rsidR="00EC3BDA" w:rsidRPr="00BF7796" w:rsidRDefault="00EC3BDA" w:rsidP="004A50A6">
      <w:pPr>
        <w:spacing w:line="480" w:lineRule="auto"/>
        <w:jc w:val="both"/>
        <w:rPr>
          <w:rFonts w:ascii="Garamond" w:hAnsi="Garamond"/>
          <w:lang w:val="es-CL"/>
        </w:rPr>
      </w:pPr>
    </w:p>
    <w:p w14:paraId="05F203AE" w14:textId="77777777" w:rsidR="00112B3E" w:rsidRPr="00BF7796" w:rsidRDefault="00112B3E" w:rsidP="004A50A6">
      <w:pPr>
        <w:spacing w:line="480" w:lineRule="auto"/>
        <w:jc w:val="both"/>
        <w:rPr>
          <w:rFonts w:ascii="Garamond" w:hAnsi="Garamond"/>
          <w:lang w:val="es-CL"/>
        </w:rPr>
      </w:pPr>
    </w:p>
    <w:sectPr w:rsidR="00112B3E" w:rsidRPr="00BF7796" w:rsidSect="00B303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96"/>
    <w:rsid w:val="00092C27"/>
    <w:rsid w:val="00112B3E"/>
    <w:rsid w:val="00273E57"/>
    <w:rsid w:val="00284899"/>
    <w:rsid w:val="00401B96"/>
    <w:rsid w:val="004A50A6"/>
    <w:rsid w:val="00584C08"/>
    <w:rsid w:val="00651CB1"/>
    <w:rsid w:val="006B35AD"/>
    <w:rsid w:val="006E7C4C"/>
    <w:rsid w:val="00843527"/>
    <w:rsid w:val="0090713F"/>
    <w:rsid w:val="00983D8D"/>
    <w:rsid w:val="009F5398"/>
    <w:rsid w:val="00B3030C"/>
    <w:rsid w:val="00BE1FC6"/>
    <w:rsid w:val="00BF7796"/>
    <w:rsid w:val="00C123B7"/>
    <w:rsid w:val="00C73160"/>
    <w:rsid w:val="00C76444"/>
    <w:rsid w:val="00D24CB9"/>
    <w:rsid w:val="00D258BF"/>
    <w:rsid w:val="00D82580"/>
    <w:rsid w:val="00EC3BDA"/>
    <w:rsid w:val="00F11DA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982E584"/>
  <w14:defaultImageDpi w14:val="32767"/>
  <w15:chartTrackingRefBased/>
  <w15:docId w15:val="{CFC12D44-D3FA-EF4C-97DD-D380C622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_trad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1B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1B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1B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1B9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1B9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1B9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1B9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1B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1B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1B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1B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1B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1B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1B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1B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1B96"/>
    <w:rPr>
      <w:rFonts w:eastAsiaTheme="majorEastAsia" w:cstheme="majorBidi"/>
      <w:color w:val="272727" w:themeColor="text1" w:themeTint="D8"/>
    </w:rPr>
  </w:style>
  <w:style w:type="paragraph" w:styleId="Ttulo">
    <w:name w:val="Title"/>
    <w:basedOn w:val="Normal"/>
    <w:next w:val="Normal"/>
    <w:link w:val="TtuloCar"/>
    <w:uiPriority w:val="10"/>
    <w:qFormat/>
    <w:rsid w:val="00401B9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1B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1B9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1B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1B9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01B96"/>
    <w:rPr>
      <w:i/>
      <w:iCs/>
      <w:color w:val="404040" w:themeColor="text1" w:themeTint="BF"/>
    </w:rPr>
  </w:style>
  <w:style w:type="paragraph" w:styleId="Prrafodelista">
    <w:name w:val="List Paragraph"/>
    <w:basedOn w:val="Normal"/>
    <w:uiPriority w:val="34"/>
    <w:qFormat/>
    <w:rsid w:val="00401B96"/>
    <w:pPr>
      <w:ind w:left="720"/>
      <w:contextualSpacing/>
    </w:pPr>
  </w:style>
  <w:style w:type="character" w:styleId="nfasisintenso">
    <w:name w:val="Intense Emphasis"/>
    <w:basedOn w:val="Fuentedeprrafopredeter"/>
    <w:uiPriority w:val="21"/>
    <w:qFormat/>
    <w:rsid w:val="00401B96"/>
    <w:rPr>
      <w:i/>
      <w:iCs/>
      <w:color w:val="0F4761" w:themeColor="accent1" w:themeShade="BF"/>
    </w:rPr>
  </w:style>
  <w:style w:type="paragraph" w:styleId="Citadestacada">
    <w:name w:val="Intense Quote"/>
    <w:basedOn w:val="Normal"/>
    <w:next w:val="Normal"/>
    <w:link w:val="CitadestacadaCar"/>
    <w:uiPriority w:val="30"/>
    <w:qFormat/>
    <w:rsid w:val="0040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1B96"/>
    <w:rPr>
      <w:i/>
      <w:iCs/>
      <w:color w:val="0F4761" w:themeColor="accent1" w:themeShade="BF"/>
    </w:rPr>
  </w:style>
  <w:style w:type="character" w:styleId="Referenciaintensa">
    <w:name w:val="Intense Reference"/>
    <w:basedOn w:val="Fuentedeprrafopredeter"/>
    <w:uiPriority w:val="32"/>
    <w:qFormat/>
    <w:rsid w:val="00401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892982">
      <w:bodyDiv w:val="1"/>
      <w:marLeft w:val="0"/>
      <w:marRight w:val="0"/>
      <w:marTop w:val="0"/>
      <w:marBottom w:val="0"/>
      <w:divBdr>
        <w:top w:val="none" w:sz="0" w:space="0" w:color="auto"/>
        <w:left w:val="none" w:sz="0" w:space="0" w:color="auto"/>
        <w:bottom w:val="none" w:sz="0" w:space="0" w:color="auto"/>
        <w:right w:val="none" w:sz="0" w:space="0" w:color="auto"/>
      </w:divBdr>
      <w:divsChild>
        <w:div w:id="1302613034">
          <w:marLeft w:val="0"/>
          <w:marRight w:val="0"/>
          <w:marTop w:val="0"/>
          <w:marBottom w:val="0"/>
          <w:divBdr>
            <w:top w:val="none" w:sz="0" w:space="0" w:color="auto"/>
            <w:left w:val="none" w:sz="0" w:space="0" w:color="auto"/>
            <w:bottom w:val="none" w:sz="0" w:space="0" w:color="auto"/>
            <w:right w:val="none" w:sz="0" w:space="0" w:color="auto"/>
          </w:divBdr>
          <w:divsChild>
            <w:div w:id="1787385350">
              <w:marLeft w:val="0"/>
              <w:marRight w:val="0"/>
              <w:marTop w:val="0"/>
              <w:marBottom w:val="0"/>
              <w:divBdr>
                <w:top w:val="none" w:sz="0" w:space="0" w:color="auto"/>
                <w:left w:val="none" w:sz="0" w:space="0" w:color="auto"/>
                <w:bottom w:val="none" w:sz="0" w:space="0" w:color="auto"/>
                <w:right w:val="none" w:sz="0" w:space="0" w:color="auto"/>
              </w:divBdr>
              <w:divsChild>
                <w:div w:id="1642417430">
                  <w:marLeft w:val="0"/>
                  <w:marRight w:val="0"/>
                  <w:marTop w:val="0"/>
                  <w:marBottom w:val="0"/>
                  <w:divBdr>
                    <w:top w:val="none" w:sz="0" w:space="0" w:color="auto"/>
                    <w:left w:val="none" w:sz="0" w:space="0" w:color="auto"/>
                    <w:bottom w:val="none" w:sz="0" w:space="0" w:color="auto"/>
                    <w:right w:val="none" w:sz="0" w:space="0" w:color="auto"/>
                  </w:divBdr>
                  <w:divsChild>
                    <w:div w:id="5006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911807">
      <w:bodyDiv w:val="1"/>
      <w:marLeft w:val="0"/>
      <w:marRight w:val="0"/>
      <w:marTop w:val="0"/>
      <w:marBottom w:val="0"/>
      <w:divBdr>
        <w:top w:val="none" w:sz="0" w:space="0" w:color="auto"/>
        <w:left w:val="none" w:sz="0" w:space="0" w:color="auto"/>
        <w:bottom w:val="none" w:sz="0" w:space="0" w:color="auto"/>
        <w:right w:val="none" w:sz="0" w:space="0" w:color="auto"/>
      </w:divBdr>
      <w:divsChild>
        <w:div w:id="81996429">
          <w:marLeft w:val="0"/>
          <w:marRight w:val="0"/>
          <w:marTop w:val="0"/>
          <w:marBottom w:val="0"/>
          <w:divBdr>
            <w:top w:val="none" w:sz="0" w:space="0" w:color="auto"/>
            <w:left w:val="none" w:sz="0" w:space="0" w:color="auto"/>
            <w:bottom w:val="none" w:sz="0" w:space="0" w:color="auto"/>
            <w:right w:val="none" w:sz="0" w:space="0" w:color="auto"/>
          </w:divBdr>
          <w:divsChild>
            <w:div w:id="1986349728">
              <w:marLeft w:val="0"/>
              <w:marRight w:val="0"/>
              <w:marTop w:val="0"/>
              <w:marBottom w:val="0"/>
              <w:divBdr>
                <w:top w:val="none" w:sz="0" w:space="0" w:color="auto"/>
                <w:left w:val="none" w:sz="0" w:space="0" w:color="auto"/>
                <w:bottom w:val="none" w:sz="0" w:space="0" w:color="auto"/>
                <w:right w:val="none" w:sz="0" w:space="0" w:color="auto"/>
              </w:divBdr>
              <w:divsChild>
                <w:div w:id="293364632">
                  <w:marLeft w:val="0"/>
                  <w:marRight w:val="0"/>
                  <w:marTop w:val="0"/>
                  <w:marBottom w:val="0"/>
                  <w:divBdr>
                    <w:top w:val="none" w:sz="0" w:space="0" w:color="auto"/>
                    <w:left w:val="none" w:sz="0" w:space="0" w:color="auto"/>
                    <w:bottom w:val="none" w:sz="0" w:space="0" w:color="auto"/>
                    <w:right w:val="none" w:sz="0" w:space="0" w:color="auto"/>
                  </w:divBdr>
                  <w:divsChild>
                    <w:div w:id="16471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1175</Words>
  <Characters>6468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Andres Sanchez Barria</dc:creator>
  <cp:keywords/>
  <dc:description/>
  <cp:lastModifiedBy>Felipe Andres Sanchez Barria</cp:lastModifiedBy>
  <cp:revision>1</cp:revision>
  <dcterms:created xsi:type="dcterms:W3CDTF">2025-07-09T09:48:00Z</dcterms:created>
  <dcterms:modified xsi:type="dcterms:W3CDTF">2025-07-09T12:20:00Z</dcterms:modified>
</cp:coreProperties>
</file>