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F2B29" w14:textId="19497D8D" w:rsidR="00C87A00" w:rsidRP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b/>
          <w:bCs/>
          <w:lang w:val="en-US"/>
        </w:rPr>
        <w:t>Felipe Sánchez-Barría</w:t>
      </w:r>
      <w:r w:rsidR="001B7404">
        <w:rPr>
          <w:rFonts w:ascii="Times New Roman" w:hAnsi="Times New Roman" w:cs="Times New Roman"/>
          <w:b/>
          <w:bCs/>
          <w:lang w:val="en-US"/>
        </w:rPr>
        <w:tab/>
      </w:r>
      <w:r w:rsidRPr="00C87A00">
        <w:rPr>
          <w:rFonts w:ascii="Times New Roman" w:hAnsi="Times New Roman" w:cs="Times New Roman"/>
          <w:b/>
          <w:bCs/>
          <w:lang w:val="en-US"/>
        </w:rPr>
        <w:br/>
        <w:t>Daniel Miranda</w:t>
      </w:r>
    </w:p>
    <w:p w14:paraId="61079A5C" w14:textId="310BDDC0" w:rsid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In recent years, we have witnessed several significant episodes of mass mobilization, many of them led by young people. In some cases, youth have gone beyond peaceful forms of collective action, engaging in not only disruptive but also more radical behaviors. A clear example is the “social </w:t>
      </w:r>
      <w:r w:rsidR="003C1A22">
        <w:rPr>
          <w:rFonts w:ascii="Times New Roman" w:hAnsi="Times New Roman" w:cs="Times New Roman"/>
          <w:lang w:val="en-US"/>
        </w:rPr>
        <w:t>outburst</w:t>
      </w:r>
      <w:r w:rsidRPr="00C87A00">
        <w:rPr>
          <w:rFonts w:ascii="Times New Roman" w:hAnsi="Times New Roman" w:cs="Times New Roman"/>
          <w:lang w:val="en-US"/>
        </w:rPr>
        <w:t>” in Chile</w:t>
      </w:r>
      <w:r w:rsidR="003C1A22">
        <w:rPr>
          <w:rFonts w:ascii="Times New Roman" w:hAnsi="Times New Roman" w:cs="Times New Roman"/>
          <w:lang w:val="en-US"/>
        </w:rPr>
        <w:t xml:space="preserve"> in 2019</w:t>
      </w:r>
      <w:r w:rsidRPr="00C87A00">
        <w:rPr>
          <w:rFonts w:ascii="Times New Roman" w:hAnsi="Times New Roman" w:cs="Times New Roman"/>
          <w:lang w:val="en-US"/>
        </w:rPr>
        <w:t xml:space="preserve">, which began with secondary school students </w:t>
      </w:r>
      <w:proofErr w:type="gramStart"/>
      <w:r w:rsidRPr="00C87A00">
        <w:rPr>
          <w:rFonts w:ascii="Times New Roman" w:hAnsi="Times New Roman" w:cs="Times New Roman"/>
          <w:lang w:val="en-US"/>
        </w:rPr>
        <w:t>protesting against</w:t>
      </w:r>
      <w:proofErr w:type="gramEnd"/>
      <w:r w:rsidRPr="00C87A00">
        <w:rPr>
          <w:rFonts w:ascii="Times New Roman" w:hAnsi="Times New Roman" w:cs="Times New Roman"/>
          <w:lang w:val="en-US"/>
        </w:rPr>
        <w:t xml:space="preserve"> metro fare increases. Students entered metro stations and jumped over turnstiles, disrupting services and clashing with the police.</w:t>
      </w:r>
    </w:p>
    <w:p w14:paraId="4CB31008" w14:textId="77777777" w:rsidR="00C87A00" w:rsidRPr="00C87A00" w:rsidRDefault="00C87A00" w:rsidP="00C87A00">
      <w:pPr>
        <w:spacing w:line="480" w:lineRule="auto"/>
        <w:jc w:val="both"/>
        <w:rPr>
          <w:rFonts w:ascii="Times New Roman" w:hAnsi="Times New Roman" w:cs="Times New Roman"/>
          <w:lang w:val="en-US"/>
        </w:rPr>
      </w:pPr>
    </w:p>
    <w:p w14:paraId="7BB9ACC9" w14:textId="05B187E6" w:rsidR="00C87A00" w:rsidRP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What drives some young people to adopt radical forms of protest, while others stick to conventional participation—or choose not to get involved at all? What factors are associated with </w:t>
      </w:r>
      <w:r w:rsidR="00553868">
        <w:rPr>
          <w:rFonts w:ascii="Times New Roman" w:hAnsi="Times New Roman" w:cs="Times New Roman"/>
          <w:lang w:val="en-US"/>
        </w:rPr>
        <w:t xml:space="preserve">the expected </w:t>
      </w:r>
      <w:r w:rsidRPr="00C87A00">
        <w:rPr>
          <w:rFonts w:ascii="Times New Roman" w:hAnsi="Times New Roman" w:cs="Times New Roman"/>
          <w:lang w:val="en-US"/>
        </w:rPr>
        <w:t>participation among a population still undergoing political socialization?</w:t>
      </w:r>
    </w:p>
    <w:p w14:paraId="1D269468" w14:textId="77777777" w:rsid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Most studies on the individual determinants of political participation focus on adults, who have already been politically socialized. These studies often rely on three main models: the resource model, political opportunity structures, and biographical availability. While the first two help explain whether people participate, they are less useful for distinguishing between </w:t>
      </w:r>
      <w:r w:rsidRPr="00C87A00">
        <w:rPr>
          <w:rFonts w:ascii="Times New Roman" w:hAnsi="Times New Roman" w:cs="Times New Roman"/>
          <w:i/>
          <w:iCs/>
          <w:lang w:val="en-US"/>
        </w:rPr>
        <w:t>types</w:t>
      </w:r>
      <w:r w:rsidRPr="00C87A00">
        <w:rPr>
          <w:rFonts w:ascii="Times New Roman" w:hAnsi="Times New Roman" w:cs="Times New Roman"/>
          <w:lang w:val="en-US"/>
        </w:rPr>
        <w:t xml:space="preserve"> of participation. Biographical availability, on the other hand, loses explanatory power in age-homogeneous populations like adolescents.</w:t>
      </w:r>
    </w:p>
    <w:p w14:paraId="7CD3073C" w14:textId="77777777" w:rsidR="00C87A00" w:rsidRPr="00C87A00" w:rsidRDefault="00C87A00" w:rsidP="00C87A00">
      <w:pPr>
        <w:spacing w:line="480" w:lineRule="auto"/>
        <w:jc w:val="both"/>
        <w:rPr>
          <w:rFonts w:ascii="Times New Roman" w:hAnsi="Times New Roman" w:cs="Times New Roman"/>
          <w:lang w:val="en-US"/>
        </w:rPr>
      </w:pPr>
    </w:p>
    <w:p w14:paraId="6C181725" w14:textId="1F8EB4A2" w:rsidR="00C87A00" w:rsidRP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In this study, we turn to the so-called </w:t>
      </w:r>
      <w:proofErr w:type="spellStart"/>
      <w:r w:rsidRPr="00C87A00">
        <w:rPr>
          <w:rFonts w:ascii="Times New Roman" w:hAnsi="Times New Roman" w:cs="Times New Roman"/>
          <w:i/>
          <w:iCs/>
          <w:lang w:val="en-US"/>
        </w:rPr>
        <w:t>Gamson</w:t>
      </w:r>
      <w:proofErr w:type="spellEnd"/>
      <w:r w:rsidRPr="00C87A00">
        <w:rPr>
          <w:rFonts w:ascii="Times New Roman" w:hAnsi="Times New Roman" w:cs="Times New Roman"/>
          <w:i/>
          <w:iCs/>
          <w:lang w:val="en-US"/>
        </w:rPr>
        <w:t xml:space="preserve"> Hypothesis</w:t>
      </w:r>
      <w:r w:rsidRPr="00C87A00">
        <w:rPr>
          <w:rFonts w:ascii="Times New Roman" w:hAnsi="Times New Roman" w:cs="Times New Roman"/>
          <w:lang w:val="en-US"/>
        </w:rPr>
        <w:t xml:space="preserve">, also known as the </w:t>
      </w:r>
      <w:r w:rsidRPr="00C87A00">
        <w:rPr>
          <w:rFonts w:ascii="Times New Roman" w:hAnsi="Times New Roman" w:cs="Times New Roman"/>
          <w:i/>
          <w:iCs/>
          <w:lang w:val="en-US"/>
        </w:rPr>
        <w:t>Mistrustful-Efficacious Hypothesis</w:t>
      </w:r>
      <w:r w:rsidRPr="00C87A00">
        <w:rPr>
          <w:rFonts w:ascii="Times New Roman" w:hAnsi="Times New Roman" w:cs="Times New Roman"/>
          <w:lang w:val="en-US"/>
        </w:rPr>
        <w:t xml:space="preserve">. In 1968, concerned about rising youth mobilization and declining trust in institutions in the United States, sociologist William </w:t>
      </w:r>
      <w:proofErr w:type="spellStart"/>
      <w:r w:rsidRPr="00C87A00">
        <w:rPr>
          <w:rFonts w:ascii="Times New Roman" w:hAnsi="Times New Roman" w:cs="Times New Roman"/>
          <w:lang w:val="en-US"/>
        </w:rPr>
        <w:t>Gamson</w:t>
      </w:r>
      <w:proofErr w:type="spellEnd"/>
      <w:r w:rsidRPr="00C87A00">
        <w:rPr>
          <w:rFonts w:ascii="Times New Roman" w:hAnsi="Times New Roman" w:cs="Times New Roman"/>
          <w:lang w:val="en-US"/>
        </w:rPr>
        <w:t xml:space="preserve"> proposed that </w:t>
      </w:r>
      <w:r w:rsidR="003C1A22">
        <w:rPr>
          <w:rFonts w:ascii="Times New Roman" w:hAnsi="Times New Roman" w:cs="Times New Roman"/>
          <w:lang w:val="en-US"/>
        </w:rPr>
        <w:t xml:space="preserve">optimal condition </w:t>
      </w:r>
      <w:r w:rsidRPr="00C87A00">
        <w:rPr>
          <w:rFonts w:ascii="Times New Roman" w:hAnsi="Times New Roman" w:cs="Times New Roman"/>
          <w:lang w:val="en-US"/>
        </w:rPr>
        <w:t xml:space="preserve">for radical political </w:t>
      </w:r>
      <w:r w:rsidR="003C1A22">
        <w:rPr>
          <w:rFonts w:ascii="Times New Roman" w:hAnsi="Times New Roman" w:cs="Times New Roman"/>
          <w:lang w:val="en-US"/>
        </w:rPr>
        <w:t>mobilization</w:t>
      </w:r>
      <w:r w:rsidRPr="00C87A00">
        <w:rPr>
          <w:rFonts w:ascii="Times New Roman" w:hAnsi="Times New Roman" w:cs="Times New Roman"/>
          <w:lang w:val="en-US"/>
        </w:rPr>
        <w:t xml:space="preserve"> is the combination of high self-efficacy and low institutional trust.</w:t>
      </w:r>
    </w:p>
    <w:p w14:paraId="733CDD93" w14:textId="096B995A" w:rsid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lastRenderedPageBreak/>
        <w:t xml:space="preserve">We test this hypothesis using a sample of secondary school students </w:t>
      </w:r>
      <w:r w:rsidR="00F936E7">
        <w:rPr>
          <w:rFonts w:ascii="Times New Roman" w:hAnsi="Times New Roman" w:cs="Times New Roman"/>
          <w:lang w:val="en-US"/>
        </w:rPr>
        <w:t>within several countries</w:t>
      </w:r>
      <w:r w:rsidRPr="00C87A00">
        <w:rPr>
          <w:rFonts w:ascii="Times New Roman" w:hAnsi="Times New Roman" w:cs="Times New Roman"/>
          <w:lang w:val="en-US"/>
        </w:rPr>
        <w:t xml:space="preserve">. Our aim is not only to assess whether the hypothesis helps </w:t>
      </w:r>
      <w:r w:rsidR="003C1A22">
        <w:rPr>
          <w:rFonts w:ascii="Times New Roman" w:hAnsi="Times New Roman" w:cs="Times New Roman"/>
          <w:lang w:val="en-US"/>
        </w:rPr>
        <w:t xml:space="preserve">to </w:t>
      </w:r>
      <w:r w:rsidRPr="00C87A00">
        <w:rPr>
          <w:rFonts w:ascii="Times New Roman" w:hAnsi="Times New Roman" w:cs="Times New Roman"/>
          <w:lang w:val="en-US"/>
        </w:rPr>
        <w:t xml:space="preserve">explain </w:t>
      </w:r>
      <w:r w:rsidRPr="00C87A00">
        <w:rPr>
          <w:rFonts w:ascii="Times New Roman" w:hAnsi="Times New Roman" w:cs="Times New Roman"/>
          <w:i/>
          <w:iCs/>
          <w:lang w:val="en-US"/>
        </w:rPr>
        <w:t>levels</w:t>
      </w:r>
      <w:r w:rsidRPr="00C87A00">
        <w:rPr>
          <w:rFonts w:ascii="Times New Roman" w:hAnsi="Times New Roman" w:cs="Times New Roman"/>
          <w:lang w:val="en-US"/>
        </w:rPr>
        <w:t xml:space="preserve"> of participation but also </w:t>
      </w:r>
      <w:r w:rsidR="003C1A22">
        <w:rPr>
          <w:rFonts w:ascii="Times New Roman" w:hAnsi="Times New Roman" w:cs="Times New Roman"/>
          <w:lang w:val="en-US"/>
        </w:rPr>
        <w:t xml:space="preserve">whether </w:t>
      </w:r>
      <w:r w:rsidRPr="00C87A00">
        <w:rPr>
          <w:rFonts w:ascii="Times New Roman" w:hAnsi="Times New Roman" w:cs="Times New Roman"/>
          <w:lang w:val="en-US"/>
        </w:rPr>
        <w:t xml:space="preserve">it helps </w:t>
      </w:r>
      <w:r w:rsidR="003C1A22">
        <w:rPr>
          <w:rFonts w:ascii="Times New Roman" w:hAnsi="Times New Roman" w:cs="Times New Roman"/>
          <w:lang w:val="en-US"/>
        </w:rPr>
        <w:t xml:space="preserve">to </w:t>
      </w:r>
      <w:r w:rsidRPr="00C87A00">
        <w:rPr>
          <w:rFonts w:ascii="Times New Roman" w:hAnsi="Times New Roman" w:cs="Times New Roman"/>
          <w:lang w:val="en-US"/>
        </w:rPr>
        <w:t xml:space="preserve">differentiate </w:t>
      </w:r>
      <w:r w:rsidRPr="00C87A00">
        <w:rPr>
          <w:rFonts w:ascii="Times New Roman" w:hAnsi="Times New Roman" w:cs="Times New Roman"/>
          <w:i/>
          <w:iCs/>
          <w:lang w:val="en-US"/>
        </w:rPr>
        <w:t>types</w:t>
      </w:r>
      <w:r w:rsidRPr="00C87A00">
        <w:rPr>
          <w:rFonts w:ascii="Times New Roman" w:hAnsi="Times New Roman" w:cs="Times New Roman"/>
          <w:lang w:val="en-US"/>
        </w:rPr>
        <w:t xml:space="preserve"> of participation.</w:t>
      </w:r>
    </w:p>
    <w:p w14:paraId="3CADB5EB" w14:textId="77777777" w:rsidR="00C87A00" w:rsidRPr="00C87A00" w:rsidRDefault="00C87A00" w:rsidP="00C87A00">
      <w:pPr>
        <w:spacing w:line="480" w:lineRule="auto"/>
        <w:jc w:val="both"/>
        <w:rPr>
          <w:rFonts w:ascii="Times New Roman" w:hAnsi="Times New Roman" w:cs="Times New Roman"/>
          <w:lang w:val="en-US"/>
        </w:rPr>
      </w:pPr>
    </w:p>
    <w:p w14:paraId="010D496A" w14:textId="64923C9F" w:rsid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To do so, we use data from the </w:t>
      </w:r>
      <w:r w:rsidRPr="00C87A00">
        <w:rPr>
          <w:rFonts w:ascii="Times New Roman" w:hAnsi="Times New Roman" w:cs="Times New Roman"/>
          <w:b/>
          <w:bCs/>
          <w:lang w:val="en-US"/>
        </w:rPr>
        <w:t>International Civic and Citizenship Education Study 2022 (ICCS)</w:t>
      </w:r>
      <w:r w:rsidRPr="00C87A00">
        <w:rPr>
          <w:rFonts w:ascii="Times New Roman" w:hAnsi="Times New Roman" w:cs="Times New Roman"/>
          <w:lang w:val="en-US"/>
        </w:rPr>
        <w:t xml:space="preserve">, which </w:t>
      </w:r>
      <w:r w:rsidR="003C1A22">
        <w:rPr>
          <w:rFonts w:ascii="Times New Roman" w:hAnsi="Times New Roman" w:cs="Times New Roman"/>
          <w:lang w:val="en-US"/>
        </w:rPr>
        <w:t xml:space="preserve">includes </w:t>
      </w:r>
      <w:r w:rsidRPr="00C87A00">
        <w:rPr>
          <w:rFonts w:ascii="Times New Roman" w:hAnsi="Times New Roman" w:cs="Times New Roman"/>
          <w:lang w:val="en-US"/>
        </w:rPr>
        <w:t>around 80,000 students from 24 countries (Schulz, 2025). Our main independent variable is the “</w:t>
      </w:r>
      <w:proofErr w:type="spellStart"/>
      <w:r w:rsidRPr="00C87A00">
        <w:rPr>
          <w:rFonts w:ascii="Times New Roman" w:hAnsi="Times New Roman" w:cs="Times New Roman"/>
          <w:lang w:val="en-US"/>
        </w:rPr>
        <w:t>Gamson</w:t>
      </w:r>
      <w:proofErr w:type="spellEnd"/>
      <w:r w:rsidRPr="00C87A00">
        <w:rPr>
          <w:rFonts w:ascii="Times New Roman" w:hAnsi="Times New Roman" w:cs="Times New Roman"/>
          <w:lang w:val="en-US"/>
        </w:rPr>
        <w:t xml:space="preserve"> typology,” which we construct by combining students’ levels of self-efficacy and institutional trust. Specifically, we rely on the </w:t>
      </w:r>
      <w:r w:rsidRPr="00C87A00">
        <w:rPr>
          <w:rFonts w:ascii="Times New Roman" w:hAnsi="Times New Roman" w:cs="Times New Roman"/>
          <w:i/>
          <w:iCs/>
          <w:lang w:val="en-US"/>
        </w:rPr>
        <w:t>Students' Citizenship Self-Efficacy</w:t>
      </w:r>
      <w:r w:rsidRPr="00C87A00">
        <w:rPr>
          <w:rFonts w:ascii="Times New Roman" w:hAnsi="Times New Roman" w:cs="Times New Roman"/>
          <w:lang w:val="en-US"/>
        </w:rPr>
        <w:t xml:space="preserve"> scale (S_CITEFF) and the </w:t>
      </w:r>
      <w:r w:rsidRPr="00C87A00">
        <w:rPr>
          <w:rFonts w:ascii="Times New Roman" w:hAnsi="Times New Roman" w:cs="Times New Roman"/>
          <w:i/>
          <w:iCs/>
          <w:lang w:val="en-US"/>
        </w:rPr>
        <w:t>Students' Trust in Civic Institutions</w:t>
      </w:r>
      <w:r w:rsidRPr="00C87A00">
        <w:rPr>
          <w:rFonts w:ascii="Times New Roman" w:hAnsi="Times New Roman" w:cs="Times New Roman"/>
          <w:lang w:val="en-US"/>
        </w:rPr>
        <w:t xml:space="preserve"> scale (S_INTRUST).</w:t>
      </w:r>
    </w:p>
    <w:p w14:paraId="09C7EDCE" w14:textId="77777777" w:rsidR="00C87A00" w:rsidRPr="00C87A00" w:rsidRDefault="00C87A00" w:rsidP="00C87A00">
      <w:pPr>
        <w:spacing w:line="480" w:lineRule="auto"/>
        <w:jc w:val="both"/>
        <w:rPr>
          <w:rFonts w:ascii="Times New Roman" w:hAnsi="Times New Roman" w:cs="Times New Roman"/>
          <w:lang w:val="en-US"/>
        </w:rPr>
      </w:pPr>
    </w:p>
    <w:p w14:paraId="75C62878" w14:textId="77777777" w:rsidR="00C87A00" w:rsidRP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Using these two variables, we create a typology with four core categories. High and low levels of self-efficacy and trust are defined using the 25th and 75th percentiles as cutoffs within each country.</w:t>
      </w:r>
    </w:p>
    <w:p w14:paraId="4E0B6FF1" w14:textId="77777777" w:rsidR="00C87A00" w:rsidRPr="00C87A00" w:rsidRDefault="00C87A00" w:rsidP="00C87A00">
      <w:pPr>
        <w:numPr>
          <w:ilvl w:val="0"/>
          <w:numId w:val="1"/>
        </w:num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Students with high self-efficacy (above the 75th percentile) and low trust (below the 25th) are labeled </w:t>
      </w:r>
      <w:r w:rsidRPr="00C87A00">
        <w:rPr>
          <w:rFonts w:ascii="Times New Roman" w:hAnsi="Times New Roman" w:cs="Times New Roman"/>
          <w:b/>
          <w:bCs/>
          <w:lang w:val="en-US"/>
        </w:rPr>
        <w:t>Dissidents</w:t>
      </w:r>
      <w:r w:rsidRPr="00C87A00">
        <w:rPr>
          <w:rFonts w:ascii="Times New Roman" w:hAnsi="Times New Roman" w:cs="Times New Roman"/>
          <w:lang w:val="en-US"/>
        </w:rPr>
        <w:t>.</w:t>
      </w:r>
    </w:p>
    <w:p w14:paraId="27D24898" w14:textId="34AB1629" w:rsidR="00C87A00" w:rsidRPr="00C87A00" w:rsidRDefault="00C87A00" w:rsidP="00C87A00">
      <w:pPr>
        <w:numPr>
          <w:ilvl w:val="0"/>
          <w:numId w:val="1"/>
        </w:numPr>
        <w:spacing w:line="480" w:lineRule="auto"/>
        <w:jc w:val="both"/>
        <w:rPr>
          <w:rFonts w:ascii="Times New Roman" w:hAnsi="Times New Roman" w:cs="Times New Roman"/>
          <w:lang w:val="en-US"/>
        </w:rPr>
      </w:pPr>
      <w:r w:rsidRPr="00C87A00">
        <w:rPr>
          <w:rFonts w:ascii="Times New Roman" w:hAnsi="Times New Roman" w:cs="Times New Roman"/>
          <w:b/>
          <w:bCs/>
          <w:lang w:val="en-US"/>
        </w:rPr>
        <w:t>Assureds</w:t>
      </w:r>
      <w:r w:rsidRPr="00C87A00">
        <w:rPr>
          <w:rFonts w:ascii="Times New Roman" w:hAnsi="Times New Roman" w:cs="Times New Roman"/>
          <w:lang w:val="en-US"/>
        </w:rPr>
        <w:t>, or “</w:t>
      </w:r>
      <w:proofErr w:type="spellStart"/>
      <w:r w:rsidRPr="00C87A00">
        <w:rPr>
          <w:rFonts w:ascii="Times New Roman" w:hAnsi="Times New Roman" w:cs="Times New Roman"/>
          <w:lang w:val="en-US"/>
        </w:rPr>
        <w:t>Loyals</w:t>
      </w:r>
      <w:proofErr w:type="spellEnd"/>
      <w:r w:rsidRPr="00C87A00">
        <w:rPr>
          <w:rFonts w:ascii="Times New Roman" w:hAnsi="Times New Roman" w:cs="Times New Roman"/>
          <w:lang w:val="en-US"/>
        </w:rPr>
        <w:t>”</w:t>
      </w:r>
      <w:r w:rsidR="003C1A22">
        <w:rPr>
          <w:rFonts w:ascii="Times New Roman" w:hAnsi="Times New Roman" w:cs="Times New Roman"/>
          <w:lang w:val="en-US"/>
        </w:rPr>
        <w:t xml:space="preserve"> are t</w:t>
      </w:r>
      <w:r w:rsidR="003C1A22" w:rsidRPr="00C87A00">
        <w:rPr>
          <w:rFonts w:ascii="Times New Roman" w:hAnsi="Times New Roman" w:cs="Times New Roman"/>
          <w:lang w:val="en-US"/>
        </w:rPr>
        <w:t>hose with high levels of both efficacy and trust</w:t>
      </w:r>
      <w:r w:rsidR="003C1A22">
        <w:rPr>
          <w:rFonts w:ascii="Times New Roman" w:hAnsi="Times New Roman" w:cs="Times New Roman"/>
          <w:lang w:val="en-US"/>
        </w:rPr>
        <w:t>.</w:t>
      </w:r>
    </w:p>
    <w:p w14:paraId="4937B31B" w14:textId="6F546138" w:rsidR="00C87A00" w:rsidRPr="00C87A00" w:rsidRDefault="003C1A22" w:rsidP="00C87A00">
      <w:pPr>
        <w:numPr>
          <w:ilvl w:val="0"/>
          <w:numId w:val="1"/>
        </w:numPr>
        <w:spacing w:line="480" w:lineRule="auto"/>
        <w:jc w:val="both"/>
        <w:rPr>
          <w:rFonts w:ascii="Times New Roman" w:hAnsi="Times New Roman" w:cs="Times New Roman"/>
          <w:lang w:val="en-US"/>
        </w:rPr>
      </w:pPr>
      <w:r>
        <w:rPr>
          <w:rFonts w:ascii="Times New Roman" w:hAnsi="Times New Roman" w:cs="Times New Roman"/>
          <w:b/>
          <w:bCs/>
          <w:lang w:val="en-US"/>
        </w:rPr>
        <w:t xml:space="preserve">While the </w:t>
      </w:r>
      <w:r w:rsidR="00C87A00" w:rsidRPr="00C87A00">
        <w:rPr>
          <w:rFonts w:ascii="Times New Roman" w:hAnsi="Times New Roman" w:cs="Times New Roman"/>
          <w:b/>
          <w:bCs/>
          <w:lang w:val="en-US"/>
        </w:rPr>
        <w:t>Alienated</w:t>
      </w:r>
      <w:r>
        <w:rPr>
          <w:rFonts w:ascii="Times New Roman" w:hAnsi="Times New Roman" w:cs="Times New Roman"/>
          <w:lang w:val="en-US"/>
        </w:rPr>
        <w:t xml:space="preserve"> are s</w:t>
      </w:r>
      <w:r w:rsidRPr="00C87A00">
        <w:rPr>
          <w:rFonts w:ascii="Times New Roman" w:hAnsi="Times New Roman" w:cs="Times New Roman"/>
          <w:lang w:val="en-US"/>
        </w:rPr>
        <w:t>tudents with low scores on both dimensions</w:t>
      </w:r>
      <w:r>
        <w:rPr>
          <w:rFonts w:ascii="Times New Roman" w:hAnsi="Times New Roman" w:cs="Times New Roman"/>
          <w:lang w:val="en-US"/>
        </w:rPr>
        <w:t>.</w:t>
      </w:r>
    </w:p>
    <w:p w14:paraId="78DEDC03" w14:textId="453E833E" w:rsidR="00C87A00" w:rsidRDefault="00C87A00" w:rsidP="00C87A00">
      <w:pPr>
        <w:numPr>
          <w:ilvl w:val="0"/>
          <w:numId w:val="1"/>
        </w:num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Those with high trust but low self-efficacy </w:t>
      </w:r>
      <w:r w:rsidR="00DD40C9" w:rsidRPr="00C87A00">
        <w:rPr>
          <w:rFonts w:ascii="Times New Roman" w:hAnsi="Times New Roman" w:cs="Times New Roman"/>
          <w:lang w:val="en-US"/>
        </w:rPr>
        <w:t>forms</w:t>
      </w:r>
      <w:r w:rsidRPr="00C87A00">
        <w:rPr>
          <w:rFonts w:ascii="Times New Roman" w:hAnsi="Times New Roman" w:cs="Times New Roman"/>
          <w:lang w:val="en-US"/>
        </w:rPr>
        <w:t xml:space="preserve"> the smallest group: the </w:t>
      </w:r>
      <w:r w:rsidRPr="00C87A00">
        <w:rPr>
          <w:rFonts w:ascii="Times New Roman" w:hAnsi="Times New Roman" w:cs="Times New Roman"/>
          <w:b/>
          <w:bCs/>
          <w:lang w:val="en-US"/>
        </w:rPr>
        <w:t>Subordinates</w:t>
      </w:r>
      <w:r w:rsidRPr="00C87A00">
        <w:rPr>
          <w:rFonts w:ascii="Times New Roman" w:hAnsi="Times New Roman" w:cs="Times New Roman"/>
          <w:lang w:val="en-US"/>
        </w:rPr>
        <w:t>.</w:t>
      </w:r>
      <w:r w:rsidRPr="00C87A00">
        <w:rPr>
          <w:rFonts w:ascii="Times New Roman" w:hAnsi="Times New Roman" w:cs="Times New Roman"/>
          <w:lang w:val="en-US"/>
        </w:rPr>
        <w:br/>
        <w:t xml:space="preserve">Finally, students with mid-range scores on both scales are labeled </w:t>
      </w:r>
      <w:r w:rsidRPr="00C87A00">
        <w:rPr>
          <w:rFonts w:ascii="Times New Roman" w:hAnsi="Times New Roman" w:cs="Times New Roman"/>
          <w:b/>
          <w:bCs/>
          <w:lang w:val="en-US"/>
        </w:rPr>
        <w:t>Moderates</w:t>
      </w:r>
      <w:r w:rsidRPr="00C87A00">
        <w:rPr>
          <w:rFonts w:ascii="Times New Roman" w:hAnsi="Times New Roman" w:cs="Times New Roman"/>
          <w:lang w:val="en-US"/>
        </w:rPr>
        <w:t>.</w:t>
      </w:r>
    </w:p>
    <w:p w14:paraId="69801924" w14:textId="77777777" w:rsidR="0045567A" w:rsidRDefault="0045567A" w:rsidP="00C87A00">
      <w:pPr>
        <w:spacing w:line="480" w:lineRule="auto"/>
        <w:jc w:val="both"/>
        <w:rPr>
          <w:rFonts w:ascii="Times New Roman" w:hAnsi="Times New Roman" w:cs="Times New Roman"/>
          <w:lang w:val="en-US"/>
        </w:rPr>
      </w:pPr>
    </w:p>
    <w:p w14:paraId="36ED3A72" w14:textId="77777777" w:rsidR="0045567A" w:rsidRDefault="0045567A" w:rsidP="00C87A00">
      <w:pPr>
        <w:spacing w:line="480" w:lineRule="auto"/>
        <w:jc w:val="both"/>
        <w:rPr>
          <w:rFonts w:ascii="Times New Roman" w:hAnsi="Times New Roman" w:cs="Times New Roman"/>
          <w:lang w:val="en-US"/>
        </w:rPr>
      </w:pPr>
    </w:p>
    <w:p w14:paraId="70CFA8EC" w14:textId="77777777" w:rsidR="0045567A" w:rsidRDefault="0045567A" w:rsidP="00C87A00">
      <w:pPr>
        <w:spacing w:line="480" w:lineRule="auto"/>
        <w:jc w:val="both"/>
        <w:rPr>
          <w:rFonts w:ascii="Times New Roman" w:hAnsi="Times New Roman" w:cs="Times New Roman"/>
          <w:lang w:val="en-US"/>
        </w:rPr>
      </w:pPr>
    </w:p>
    <w:p w14:paraId="1134D945" w14:textId="77777777" w:rsidR="0045567A" w:rsidRPr="0045567A" w:rsidRDefault="0045567A" w:rsidP="0045567A">
      <w:pPr>
        <w:spacing w:line="480" w:lineRule="auto"/>
        <w:jc w:val="both"/>
        <w:rPr>
          <w:rFonts w:ascii="Times New Roman" w:hAnsi="Times New Roman" w:cs="Times New Roman"/>
          <w:lang w:val="en-US"/>
        </w:rPr>
      </w:pPr>
      <w:r w:rsidRPr="0045567A">
        <w:rPr>
          <w:rFonts w:ascii="Times New Roman" w:hAnsi="Times New Roman" w:cs="Times New Roman"/>
          <w:b/>
          <w:bCs/>
          <w:lang w:val="en-US"/>
        </w:rPr>
        <w:lastRenderedPageBreak/>
        <w:t>Hypothesis:</w:t>
      </w:r>
      <w:r w:rsidRPr="0045567A">
        <w:rPr>
          <w:rFonts w:ascii="Times New Roman" w:hAnsi="Times New Roman" w:cs="Times New Roman"/>
          <w:lang w:val="en-US"/>
        </w:rPr>
        <w:br/>
        <w:t xml:space="preserve">For each category within the </w:t>
      </w:r>
      <w:proofErr w:type="spellStart"/>
      <w:r w:rsidRPr="0045567A">
        <w:rPr>
          <w:rFonts w:ascii="Times New Roman" w:hAnsi="Times New Roman" w:cs="Times New Roman"/>
          <w:lang w:val="en-US"/>
        </w:rPr>
        <w:t>Gamson</w:t>
      </w:r>
      <w:proofErr w:type="spellEnd"/>
      <w:r w:rsidRPr="0045567A">
        <w:rPr>
          <w:rFonts w:ascii="Times New Roman" w:hAnsi="Times New Roman" w:cs="Times New Roman"/>
          <w:lang w:val="en-US"/>
        </w:rPr>
        <w:t xml:space="preserve"> typology, we propose a set of testable hypotheses:</w:t>
      </w:r>
    </w:p>
    <w:p w14:paraId="337FF5CC" w14:textId="279F3823" w:rsidR="0045567A" w:rsidRPr="0045567A" w:rsidRDefault="0045567A" w:rsidP="0045567A">
      <w:pPr>
        <w:numPr>
          <w:ilvl w:val="0"/>
          <w:numId w:val="2"/>
        </w:numPr>
        <w:spacing w:line="480" w:lineRule="auto"/>
        <w:jc w:val="both"/>
        <w:rPr>
          <w:rFonts w:ascii="Times New Roman" w:hAnsi="Times New Roman" w:cs="Times New Roman"/>
          <w:lang w:val="en-US"/>
        </w:rPr>
      </w:pPr>
      <w:r w:rsidRPr="0045567A">
        <w:rPr>
          <w:rFonts w:ascii="Times New Roman" w:hAnsi="Times New Roman" w:cs="Times New Roman"/>
          <w:b/>
          <w:bCs/>
          <w:lang w:val="en-US"/>
        </w:rPr>
        <w:t>Dissidents</w:t>
      </w:r>
      <w:r w:rsidRPr="0045567A">
        <w:rPr>
          <w:rFonts w:ascii="Times New Roman" w:hAnsi="Times New Roman" w:cs="Times New Roman"/>
          <w:lang w:val="en-US"/>
        </w:rPr>
        <w:t xml:space="preserve"> </w:t>
      </w:r>
      <w:r w:rsidR="003C1A22">
        <w:rPr>
          <w:rFonts w:ascii="Times New Roman" w:hAnsi="Times New Roman" w:cs="Times New Roman"/>
          <w:lang w:val="en-US"/>
        </w:rPr>
        <w:t>will</w:t>
      </w:r>
      <w:r w:rsidRPr="0045567A">
        <w:rPr>
          <w:rFonts w:ascii="Times New Roman" w:hAnsi="Times New Roman" w:cs="Times New Roman"/>
          <w:lang w:val="en-US"/>
        </w:rPr>
        <w:t xml:space="preserve"> show higher levels of </w:t>
      </w:r>
      <w:r w:rsidR="003C1A22" w:rsidRPr="0045567A">
        <w:rPr>
          <w:rFonts w:ascii="Times New Roman" w:hAnsi="Times New Roman" w:cs="Times New Roman"/>
          <w:lang w:val="en-US"/>
        </w:rPr>
        <w:t>expected</w:t>
      </w:r>
      <w:r w:rsidRPr="0045567A">
        <w:rPr>
          <w:rFonts w:ascii="Times New Roman" w:hAnsi="Times New Roman" w:cs="Times New Roman"/>
          <w:lang w:val="en-US"/>
        </w:rPr>
        <w:t xml:space="preserve"> participation in illegal or non-conventional actions</w:t>
      </w:r>
      <w:r w:rsidR="003C1A22">
        <w:rPr>
          <w:rFonts w:ascii="Times New Roman" w:hAnsi="Times New Roman" w:cs="Times New Roman"/>
          <w:lang w:val="en-US"/>
        </w:rPr>
        <w:t>, compared to the other groups and other forms of participation.</w:t>
      </w:r>
    </w:p>
    <w:p w14:paraId="4F0562C2" w14:textId="60219D3F" w:rsidR="0045567A" w:rsidRPr="0045567A" w:rsidRDefault="0045567A" w:rsidP="0045567A">
      <w:pPr>
        <w:numPr>
          <w:ilvl w:val="0"/>
          <w:numId w:val="2"/>
        </w:numPr>
        <w:spacing w:line="480" w:lineRule="auto"/>
        <w:jc w:val="both"/>
        <w:rPr>
          <w:rFonts w:ascii="Times New Roman" w:hAnsi="Times New Roman" w:cs="Times New Roman"/>
          <w:lang w:val="en-US"/>
        </w:rPr>
      </w:pPr>
      <w:r w:rsidRPr="0045567A">
        <w:rPr>
          <w:rFonts w:ascii="Times New Roman" w:hAnsi="Times New Roman" w:cs="Times New Roman"/>
          <w:b/>
          <w:bCs/>
          <w:lang w:val="en-US"/>
        </w:rPr>
        <w:t>Assureds</w:t>
      </w:r>
      <w:r w:rsidRPr="0045567A">
        <w:rPr>
          <w:rFonts w:ascii="Times New Roman" w:hAnsi="Times New Roman" w:cs="Times New Roman"/>
          <w:lang w:val="en-US"/>
        </w:rPr>
        <w:t xml:space="preserve"> </w:t>
      </w:r>
      <w:r w:rsidR="003C1A22">
        <w:rPr>
          <w:rFonts w:ascii="Times New Roman" w:hAnsi="Times New Roman" w:cs="Times New Roman"/>
          <w:lang w:val="en-US"/>
        </w:rPr>
        <w:t>will</w:t>
      </w:r>
      <w:r w:rsidRPr="0045567A">
        <w:rPr>
          <w:rFonts w:ascii="Times New Roman" w:hAnsi="Times New Roman" w:cs="Times New Roman"/>
          <w:lang w:val="en-US"/>
        </w:rPr>
        <w:t xml:space="preserve"> exhibit greater expectations of engaging in legal or conventional forms of participation.</w:t>
      </w:r>
    </w:p>
    <w:p w14:paraId="1CAA898A" w14:textId="77777777" w:rsidR="0045567A" w:rsidRPr="0045567A" w:rsidRDefault="0045567A" w:rsidP="0045567A">
      <w:pPr>
        <w:numPr>
          <w:ilvl w:val="0"/>
          <w:numId w:val="2"/>
        </w:numPr>
        <w:spacing w:line="480" w:lineRule="auto"/>
        <w:jc w:val="both"/>
        <w:rPr>
          <w:rFonts w:ascii="Times New Roman" w:hAnsi="Times New Roman" w:cs="Times New Roman"/>
          <w:lang w:val="en-US"/>
        </w:rPr>
      </w:pPr>
      <w:r w:rsidRPr="0045567A">
        <w:rPr>
          <w:rFonts w:ascii="Times New Roman" w:hAnsi="Times New Roman" w:cs="Times New Roman"/>
          <w:b/>
          <w:bCs/>
          <w:lang w:val="en-US"/>
        </w:rPr>
        <w:t>Alienated</w:t>
      </w:r>
      <w:r w:rsidRPr="0045567A">
        <w:rPr>
          <w:rFonts w:ascii="Times New Roman" w:hAnsi="Times New Roman" w:cs="Times New Roman"/>
          <w:lang w:val="en-US"/>
        </w:rPr>
        <w:t xml:space="preserve"> and </w:t>
      </w:r>
      <w:r w:rsidRPr="0045567A">
        <w:rPr>
          <w:rFonts w:ascii="Times New Roman" w:hAnsi="Times New Roman" w:cs="Times New Roman"/>
          <w:b/>
          <w:bCs/>
          <w:lang w:val="en-US"/>
        </w:rPr>
        <w:t>Subordinates</w:t>
      </w:r>
      <w:r w:rsidRPr="0045567A">
        <w:rPr>
          <w:rFonts w:ascii="Times New Roman" w:hAnsi="Times New Roman" w:cs="Times New Roman"/>
          <w:lang w:val="en-US"/>
        </w:rPr>
        <w:t xml:space="preserve"> are expected to display low or no intention to participate in any form of political activity.</w:t>
      </w:r>
    </w:p>
    <w:p w14:paraId="733008FD" w14:textId="77777777" w:rsidR="0045567A" w:rsidRPr="00C87A00" w:rsidRDefault="0045567A" w:rsidP="00C87A00">
      <w:pPr>
        <w:spacing w:line="480" w:lineRule="auto"/>
        <w:jc w:val="both"/>
        <w:rPr>
          <w:rFonts w:ascii="Times New Roman" w:hAnsi="Times New Roman" w:cs="Times New Roman"/>
          <w:lang w:val="en-US"/>
        </w:rPr>
      </w:pPr>
    </w:p>
    <w:p w14:paraId="18AB4AB1" w14:textId="0B21D8F0" w:rsid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Our dependent variables measure students’ </w:t>
      </w:r>
      <w:r w:rsidRPr="00C87A00">
        <w:rPr>
          <w:rFonts w:ascii="Times New Roman" w:hAnsi="Times New Roman" w:cs="Times New Roman"/>
          <w:b/>
          <w:bCs/>
          <w:lang w:val="en-US"/>
        </w:rPr>
        <w:t>expectations of political participation</w:t>
      </w:r>
      <w:r w:rsidRPr="00C87A00">
        <w:rPr>
          <w:rFonts w:ascii="Times New Roman" w:hAnsi="Times New Roman" w:cs="Times New Roman"/>
          <w:lang w:val="en-US"/>
        </w:rPr>
        <w:t xml:space="preserve">. The first is </w:t>
      </w:r>
      <w:r w:rsidRPr="00C87A00">
        <w:rPr>
          <w:rFonts w:ascii="Times New Roman" w:hAnsi="Times New Roman" w:cs="Times New Roman"/>
          <w:i/>
          <w:iCs/>
          <w:lang w:val="en-US"/>
        </w:rPr>
        <w:t>expected participation in legal activities</w:t>
      </w:r>
      <w:r w:rsidRPr="00C87A00">
        <w:rPr>
          <w:rFonts w:ascii="Times New Roman" w:hAnsi="Times New Roman" w:cs="Times New Roman"/>
          <w:lang w:val="en-US"/>
        </w:rPr>
        <w:t xml:space="preserve"> (S_LEGACT), which includes various conventional forms of engagement. The second is </w:t>
      </w:r>
      <w:r w:rsidRPr="00C87A00">
        <w:rPr>
          <w:rFonts w:ascii="Times New Roman" w:hAnsi="Times New Roman" w:cs="Times New Roman"/>
          <w:i/>
          <w:iCs/>
          <w:lang w:val="en-US"/>
        </w:rPr>
        <w:t>expected participation in illegal protest activities</w:t>
      </w:r>
      <w:r w:rsidRPr="00C87A00">
        <w:rPr>
          <w:rFonts w:ascii="Times New Roman" w:hAnsi="Times New Roman" w:cs="Times New Roman"/>
          <w:lang w:val="en-US"/>
        </w:rPr>
        <w:t xml:space="preserve"> (S_ILLACT)</w:t>
      </w:r>
      <w:r w:rsidR="0045567A">
        <w:rPr>
          <w:rFonts w:ascii="Times New Roman" w:hAnsi="Times New Roman" w:cs="Times New Roman"/>
          <w:lang w:val="en-US"/>
        </w:rPr>
        <w:t xml:space="preserve"> composed of several item asking student’s expectation of illegal forms of engagement</w:t>
      </w:r>
      <w:r w:rsidRPr="00C87A00">
        <w:rPr>
          <w:rFonts w:ascii="Times New Roman" w:hAnsi="Times New Roman" w:cs="Times New Roman"/>
          <w:lang w:val="en-US"/>
        </w:rPr>
        <w:t>.</w:t>
      </w:r>
    </w:p>
    <w:p w14:paraId="60A2F561" w14:textId="77777777" w:rsidR="00C87A00" w:rsidRPr="00C87A00" w:rsidRDefault="00C87A00" w:rsidP="00C87A00">
      <w:pPr>
        <w:spacing w:line="480" w:lineRule="auto"/>
        <w:jc w:val="both"/>
        <w:rPr>
          <w:rFonts w:ascii="Times New Roman" w:hAnsi="Times New Roman" w:cs="Times New Roman"/>
          <w:lang w:val="en-US"/>
        </w:rPr>
      </w:pPr>
    </w:p>
    <w:p w14:paraId="7E5D157B" w14:textId="0843B002" w:rsid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To assess the association between the </w:t>
      </w:r>
      <w:proofErr w:type="spellStart"/>
      <w:r w:rsidRPr="00C87A00">
        <w:rPr>
          <w:rFonts w:ascii="Times New Roman" w:hAnsi="Times New Roman" w:cs="Times New Roman"/>
          <w:lang w:val="en-US"/>
        </w:rPr>
        <w:t>Gamson</w:t>
      </w:r>
      <w:proofErr w:type="spellEnd"/>
      <w:r w:rsidRPr="00C87A00">
        <w:rPr>
          <w:rFonts w:ascii="Times New Roman" w:hAnsi="Times New Roman" w:cs="Times New Roman"/>
          <w:lang w:val="en-US"/>
        </w:rPr>
        <w:t xml:space="preserve"> typology and </w:t>
      </w:r>
      <w:r w:rsidR="0045567A">
        <w:rPr>
          <w:rFonts w:ascii="Times New Roman" w:hAnsi="Times New Roman" w:cs="Times New Roman"/>
          <w:lang w:val="en-US"/>
        </w:rPr>
        <w:t xml:space="preserve">expected </w:t>
      </w:r>
      <w:r w:rsidRPr="00C87A00">
        <w:rPr>
          <w:rFonts w:ascii="Times New Roman" w:hAnsi="Times New Roman" w:cs="Times New Roman"/>
          <w:lang w:val="en-US"/>
        </w:rPr>
        <w:t xml:space="preserve">participation, we estimate a series of </w:t>
      </w:r>
      <w:r w:rsidRPr="00C87A00">
        <w:rPr>
          <w:rFonts w:ascii="Times New Roman" w:hAnsi="Times New Roman" w:cs="Times New Roman"/>
          <w:b/>
          <w:bCs/>
          <w:lang w:val="en-US"/>
        </w:rPr>
        <w:t>multilevel regression models</w:t>
      </w:r>
      <w:r w:rsidRPr="00C87A00">
        <w:rPr>
          <w:rFonts w:ascii="Times New Roman" w:hAnsi="Times New Roman" w:cs="Times New Roman"/>
          <w:lang w:val="en-US"/>
        </w:rPr>
        <w:t>. In each case, “Moderates” serve as the reference category. Any significant difference for one of the other groups should be interpreted relative to this</w:t>
      </w:r>
      <w:r w:rsidR="0045567A">
        <w:rPr>
          <w:rFonts w:ascii="Times New Roman" w:hAnsi="Times New Roman" w:cs="Times New Roman"/>
          <w:lang w:val="en-US"/>
        </w:rPr>
        <w:t xml:space="preserve"> more typical or</w:t>
      </w:r>
      <w:r w:rsidRPr="00C87A00">
        <w:rPr>
          <w:rFonts w:ascii="Times New Roman" w:hAnsi="Times New Roman" w:cs="Times New Roman"/>
          <w:lang w:val="en-US"/>
        </w:rPr>
        <w:t xml:space="preserve"> “average” group. A non-significant result implies no distinguishable difference from the typical respondent.</w:t>
      </w:r>
    </w:p>
    <w:p w14:paraId="7F00DF81" w14:textId="77777777" w:rsidR="00C87A00" w:rsidRPr="00C87A00" w:rsidRDefault="00C87A00" w:rsidP="00C87A00">
      <w:pPr>
        <w:spacing w:line="480" w:lineRule="auto"/>
        <w:jc w:val="both"/>
        <w:rPr>
          <w:rFonts w:ascii="Times New Roman" w:hAnsi="Times New Roman" w:cs="Times New Roman"/>
          <w:lang w:val="en-US"/>
        </w:rPr>
      </w:pPr>
    </w:p>
    <w:p w14:paraId="540DFDD4" w14:textId="317C4B1E" w:rsidR="00C87A00" w:rsidRP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This figure shows the results for </w:t>
      </w:r>
      <w:r w:rsidRPr="00C87A00">
        <w:rPr>
          <w:rFonts w:ascii="Times New Roman" w:hAnsi="Times New Roman" w:cs="Times New Roman"/>
          <w:b/>
          <w:bCs/>
          <w:lang w:val="en-US"/>
        </w:rPr>
        <w:t>expected legal participation</w:t>
      </w:r>
      <w:r w:rsidRPr="00C87A00">
        <w:rPr>
          <w:rFonts w:ascii="Times New Roman" w:hAnsi="Times New Roman" w:cs="Times New Roman"/>
          <w:lang w:val="en-US"/>
        </w:rPr>
        <w:t xml:space="preserve">, by country, across the </w:t>
      </w:r>
      <w:proofErr w:type="spellStart"/>
      <w:r w:rsidRPr="00C87A00">
        <w:rPr>
          <w:rFonts w:ascii="Times New Roman" w:hAnsi="Times New Roman" w:cs="Times New Roman"/>
          <w:lang w:val="en-US"/>
        </w:rPr>
        <w:t>Gamson</w:t>
      </w:r>
      <w:proofErr w:type="spellEnd"/>
      <w:r w:rsidRPr="00C87A00">
        <w:rPr>
          <w:rFonts w:ascii="Times New Roman" w:hAnsi="Times New Roman" w:cs="Times New Roman"/>
          <w:lang w:val="en-US"/>
        </w:rPr>
        <w:t xml:space="preserve"> types. The groups highlighted in red—</w:t>
      </w:r>
      <w:r w:rsidRPr="00C87A00">
        <w:rPr>
          <w:rFonts w:ascii="Times New Roman" w:hAnsi="Times New Roman" w:cs="Times New Roman"/>
          <w:b/>
          <w:bCs/>
          <w:lang w:val="en-US"/>
        </w:rPr>
        <w:t>Assureds</w:t>
      </w:r>
      <w:r w:rsidRPr="00C87A00">
        <w:rPr>
          <w:rFonts w:ascii="Times New Roman" w:hAnsi="Times New Roman" w:cs="Times New Roman"/>
          <w:lang w:val="en-US"/>
        </w:rPr>
        <w:t xml:space="preserve"> and </w:t>
      </w:r>
      <w:r w:rsidRPr="00C87A00">
        <w:rPr>
          <w:rFonts w:ascii="Times New Roman" w:hAnsi="Times New Roman" w:cs="Times New Roman"/>
          <w:b/>
          <w:bCs/>
          <w:lang w:val="en-US"/>
        </w:rPr>
        <w:t>Dissidents</w:t>
      </w:r>
      <w:r w:rsidRPr="00C87A00">
        <w:rPr>
          <w:rFonts w:ascii="Times New Roman" w:hAnsi="Times New Roman" w:cs="Times New Roman"/>
          <w:lang w:val="en-US"/>
        </w:rPr>
        <w:t xml:space="preserve">—the most efficacious and, as expected, exhibit the highest levels of </w:t>
      </w:r>
      <w:proofErr w:type="spellStart"/>
      <w:r>
        <w:rPr>
          <w:rFonts w:ascii="Times New Roman" w:hAnsi="Times New Roman" w:cs="Times New Roman"/>
          <w:lang w:val="en-US"/>
        </w:rPr>
        <w:t>expectatives</w:t>
      </w:r>
      <w:proofErr w:type="spellEnd"/>
      <w:r>
        <w:rPr>
          <w:rFonts w:ascii="Times New Roman" w:hAnsi="Times New Roman" w:cs="Times New Roman"/>
          <w:lang w:val="en-US"/>
        </w:rPr>
        <w:t xml:space="preserve"> of</w:t>
      </w:r>
      <w:r w:rsidRPr="00C87A00">
        <w:rPr>
          <w:rFonts w:ascii="Times New Roman" w:hAnsi="Times New Roman" w:cs="Times New Roman"/>
          <w:lang w:val="en-US"/>
        </w:rPr>
        <w:t xml:space="preserve"> participation. While </w:t>
      </w:r>
      <w:r w:rsidRPr="00C87A00">
        <w:rPr>
          <w:rFonts w:ascii="Times New Roman" w:hAnsi="Times New Roman" w:cs="Times New Roman"/>
          <w:lang w:val="en-US"/>
        </w:rPr>
        <w:lastRenderedPageBreak/>
        <w:t xml:space="preserve">there are some cross-country differences, the pattern is generally consistent: Assureds, as the hypothesis predicts, are most </w:t>
      </w:r>
      <w:r w:rsidR="005F130B">
        <w:rPr>
          <w:rFonts w:ascii="Times New Roman" w:hAnsi="Times New Roman" w:cs="Times New Roman"/>
          <w:lang w:val="en-US"/>
        </w:rPr>
        <w:t xml:space="preserve">inclined </w:t>
      </w:r>
      <w:r w:rsidRPr="00C87A00">
        <w:rPr>
          <w:rFonts w:ascii="Times New Roman" w:hAnsi="Times New Roman" w:cs="Times New Roman"/>
          <w:lang w:val="en-US"/>
        </w:rPr>
        <w:t>toward legal or conventional political engagement.</w:t>
      </w:r>
    </w:p>
    <w:p w14:paraId="135443AD" w14:textId="77777777" w:rsidR="005F130B" w:rsidRDefault="005F130B" w:rsidP="00C87A00">
      <w:pPr>
        <w:spacing w:line="480" w:lineRule="auto"/>
        <w:jc w:val="both"/>
        <w:rPr>
          <w:rFonts w:ascii="Times New Roman" w:hAnsi="Times New Roman" w:cs="Times New Roman"/>
          <w:lang w:val="en-US"/>
        </w:rPr>
      </w:pPr>
    </w:p>
    <w:p w14:paraId="37CF8874" w14:textId="133BAC0F" w:rsid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Turning to </w:t>
      </w:r>
      <w:r w:rsidRPr="00C87A00">
        <w:rPr>
          <w:rFonts w:ascii="Times New Roman" w:hAnsi="Times New Roman" w:cs="Times New Roman"/>
          <w:b/>
          <w:bCs/>
          <w:lang w:val="en-US"/>
        </w:rPr>
        <w:t>illegal participation</w:t>
      </w:r>
      <w:r w:rsidRPr="00C87A00">
        <w:rPr>
          <w:rFonts w:ascii="Times New Roman" w:hAnsi="Times New Roman" w:cs="Times New Roman"/>
          <w:lang w:val="en-US"/>
        </w:rPr>
        <w:t xml:space="preserve">, we see a similar pattern. Again, Assureds and Dissidents show the highest </w:t>
      </w:r>
      <w:proofErr w:type="spellStart"/>
      <w:r w:rsidRPr="00C87A00">
        <w:rPr>
          <w:rFonts w:ascii="Times New Roman" w:hAnsi="Times New Roman" w:cs="Times New Roman"/>
          <w:lang w:val="en-US"/>
        </w:rPr>
        <w:t>expectati</w:t>
      </w:r>
      <w:r w:rsidR="005F130B">
        <w:rPr>
          <w:rFonts w:ascii="Times New Roman" w:hAnsi="Times New Roman" w:cs="Times New Roman"/>
          <w:lang w:val="en-US"/>
        </w:rPr>
        <w:t>ves</w:t>
      </w:r>
      <w:proofErr w:type="spellEnd"/>
      <w:r w:rsidR="005F130B">
        <w:rPr>
          <w:rFonts w:ascii="Times New Roman" w:hAnsi="Times New Roman" w:cs="Times New Roman"/>
          <w:lang w:val="en-US"/>
        </w:rPr>
        <w:t xml:space="preserve"> of participation. </w:t>
      </w:r>
      <w:r w:rsidRPr="00C87A00">
        <w:rPr>
          <w:rFonts w:ascii="Times New Roman" w:hAnsi="Times New Roman" w:cs="Times New Roman"/>
          <w:lang w:val="en-US"/>
        </w:rPr>
        <w:t xml:space="preserve">However, contrary to </w:t>
      </w:r>
      <w:proofErr w:type="spellStart"/>
      <w:r w:rsidRPr="00C87A00">
        <w:rPr>
          <w:rFonts w:ascii="Times New Roman" w:hAnsi="Times New Roman" w:cs="Times New Roman"/>
          <w:lang w:val="en-US"/>
        </w:rPr>
        <w:t>Gamson’s</w:t>
      </w:r>
      <w:proofErr w:type="spellEnd"/>
      <w:r w:rsidRPr="00C87A00">
        <w:rPr>
          <w:rFonts w:ascii="Times New Roman" w:hAnsi="Times New Roman" w:cs="Times New Roman"/>
          <w:lang w:val="en-US"/>
        </w:rPr>
        <w:t xml:space="preserve"> original hypothesis, it is not the </w:t>
      </w:r>
      <w:r w:rsidRPr="00C87A00">
        <w:rPr>
          <w:rFonts w:ascii="Times New Roman" w:hAnsi="Times New Roman" w:cs="Times New Roman"/>
          <w:i/>
          <w:iCs/>
          <w:lang w:val="en-US"/>
        </w:rPr>
        <w:t>Dissidents</w:t>
      </w:r>
      <w:r w:rsidRPr="00C87A00">
        <w:rPr>
          <w:rFonts w:ascii="Times New Roman" w:hAnsi="Times New Roman" w:cs="Times New Roman"/>
          <w:lang w:val="en-US"/>
        </w:rPr>
        <w:t xml:space="preserve">—those most </w:t>
      </w:r>
      <w:r w:rsidR="005F130B">
        <w:rPr>
          <w:rFonts w:ascii="Times New Roman" w:hAnsi="Times New Roman" w:cs="Times New Roman"/>
          <w:lang w:val="en-US"/>
        </w:rPr>
        <w:t>mistrustful</w:t>
      </w:r>
      <w:r w:rsidRPr="00C87A00">
        <w:rPr>
          <w:rFonts w:ascii="Times New Roman" w:hAnsi="Times New Roman" w:cs="Times New Roman"/>
          <w:lang w:val="en-US"/>
        </w:rPr>
        <w:t xml:space="preserve"> toward institutions—who express the strongest intent to engage in illegal protest. Instead, it is the </w:t>
      </w:r>
      <w:r w:rsidRPr="00C87A00">
        <w:rPr>
          <w:rFonts w:ascii="Times New Roman" w:hAnsi="Times New Roman" w:cs="Times New Roman"/>
          <w:i/>
          <w:iCs/>
          <w:lang w:val="en-US"/>
        </w:rPr>
        <w:t>Assureds</w:t>
      </w:r>
      <w:r w:rsidRPr="00C87A00">
        <w:rPr>
          <w:rFonts w:ascii="Times New Roman" w:hAnsi="Times New Roman" w:cs="Times New Roman"/>
          <w:lang w:val="en-US"/>
        </w:rPr>
        <w:t>—those with both high efficacy and high trust.</w:t>
      </w:r>
      <w:r w:rsidR="005F130B">
        <w:rPr>
          <w:rFonts w:ascii="Times New Roman" w:hAnsi="Times New Roman" w:cs="Times New Roman"/>
          <w:lang w:val="en-US"/>
        </w:rPr>
        <w:t xml:space="preserve"> With one exception which need more exploration Denmark.</w:t>
      </w:r>
    </w:p>
    <w:p w14:paraId="7CBBF894" w14:textId="77777777" w:rsidR="00C87A00" w:rsidRPr="00C87A00" w:rsidRDefault="00C87A00" w:rsidP="00C87A00">
      <w:pPr>
        <w:spacing w:line="480" w:lineRule="auto"/>
        <w:jc w:val="both"/>
        <w:rPr>
          <w:rFonts w:ascii="Times New Roman" w:hAnsi="Times New Roman" w:cs="Times New Roman"/>
          <w:lang w:val="en-US"/>
        </w:rPr>
      </w:pPr>
    </w:p>
    <w:p w14:paraId="2FB2AD32" w14:textId="4636FE85" w:rsid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We conducted a similar analysis using a Chilean sample, and those results aligned more closely with </w:t>
      </w:r>
      <w:proofErr w:type="spellStart"/>
      <w:r w:rsidRPr="00C87A00">
        <w:rPr>
          <w:rFonts w:ascii="Times New Roman" w:hAnsi="Times New Roman" w:cs="Times New Roman"/>
          <w:lang w:val="en-US"/>
        </w:rPr>
        <w:t>Gamson’s</w:t>
      </w:r>
      <w:proofErr w:type="spellEnd"/>
      <w:r w:rsidRPr="00C87A00">
        <w:rPr>
          <w:rFonts w:ascii="Times New Roman" w:hAnsi="Times New Roman" w:cs="Times New Roman"/>
          <w:lang w:val="en-US"/>
        </w:rPr>
        <w:t xml:space="preserve"> hypothesis. There, Assureds were more likely to engage in legal forms of participation, while Dissidents were more involved in radical actions. One possible explanation is that in the Chilean study we examined </w:t>
      </w:r>
      <w:r w:rsidRPr="00C87A00">
        <w:rPr>
          <w:rFonts w:ascii="Times New Roman" w:hAnsi="Times New Roman" w:cs="Times New Roman"/>
          <w:b/>
          <w:bCs/>
          <w:lang w:val="en-US"/>
        </w:rPr>
        <w:t>actual participation</w:t>
      </w:r>
      <w:r w:rsidRPr="00C87A00">
        <w:rPr>
          <w:rFonts w:ascii="Times New Roman" w:hAnsi="Times New Roman" w:cs="Times New Roman"/>
          <w:lang w:val="en-US"/>
        </w:rPr>
        <w:t xml:space="preserve">, whereas the ICCS data capture </w:t>
      </w:r>
      <w:r w:rsidR="00F270D6" w:rsidRPr="00C87A00">
        <w:rPr>
          <w:rFonts w:ascii="Times New Roman" w:hAnsi="Times New Roman" w:cs="Times New Roman"/>
          <w:b/>
          <w:bCs/>
          <w:lang w:val="en-US"/>
        </w:rPr>
        <w:t>expectati</w:t>
      </w:r>
      <w:r w:rsidR="00F270D6">
        <w:rPr>
          <w:rFonts w:ascii="Times New Roman" w:hAnsi="Times New Roman" w:cs="Times New Roman"/>
          <w:b/>
          <w:bCs/>
          <w:lang w:val="en-US"/>
        </w:rPr>
        <w:t>ve of participation</w:t>
      </w:r>
      <w:r w:rsidRPr="00C87A00">
        <w:rPr>
          <w:rFonts w:ascii="Times New Roman" w:hAnsi="Times New Roman" w:cs="Times New Roman"/>
          <w:lang w:val="en-US"/>
        </w:rPr>
        <w:t xml:space="preserve">. It’s likely that young people tend to overestimate their own future political engagement. </w:t>
      </w:r>
      <w:r w:rsidR="0045567A">
        <w:rPr>
          <w:rFonts w:ascii="Times New Roman" w:hAnsi="Times New Roman" w:cs="Times New Roman"/>
          <w:lang w:val="en-US"/>
        </w:rPr>
        <w:t>In this regard</w:t>
      </w:r>
      <w:r w:rsidR="00F270D6">
        <w:rPr>
          <w:rFonts w:ascii="Times New Roman" w:hAnsi="Times New Roman" w:cs="Times New Roman"/>
          <w:lang w:val="en-US"/>
        </w:rPr>
        <w:t>, we believe that</w:t>
      </w:r>
      <w:r w:rsidRPr="00C87A00">
        <w:rPr>
          <w:rFonts w:ascii="Times New Roman" w:hAnsi="Times New Roman" w:cs="Times New Roman"/>
          <w:lang w:val="en-US"/>
        </w:rPr>
        <w:t xml:space="preserve"> expectations are </w:t>
      </w:r>
      <w:r w:rsidR="001D1708">
        <w:rPr>
          <w:rFonts w:ascii="Times New Roman" w:hAnsi="Times New Roman" w:cs="Times New Roman"/>
          <w:lang w:val="en-US"/>
        </w:rPr>
        <w:t>somehow connected with</w:t>
      </w:r>
      <w:r w:rsidRPr="00C87A00">
        <w:rPr>
          <w:rFonts w:ascii="Times New Roman" w:hAnsi="Times New Roman" w:cs="Times New Roman"/>
          <w:lang w:val="en-US"/>
        </w:rPr>
        <w:t xml:space="preserve"> </w:t>
      </w:r>
      <w:r w:rsidR="0045567A">
        <w:rPr>
          <w:rFonts w:ascii="Times New Roman" w:hAnsi="Times New Roman" w:cs="Times New Roman"/>
          <w:lang w:val="en-US"/>
        </w:rPr>
        <w:t xml:space="preserve">the </w:t>
      </w:r>
      <w:r w:rsidRPr="00C87A00">
        <w:rPr>
          <w:rFonts w:ascii="Times New Roman" w:hAnsi="Times New Roman" w:cs="Times New Roman"/>
          <w:lang w:val="en-US"/>
        </w:rPr>
        <w:t xml:space="preserve">perceived </w:t>
      </w:r>
      <w:r w:rsidRPr="00C87A00">
        <w:rPr>
          <w:rFonts w:ascii="Times New Roman" w:hAnsi="Times New Roman" w:cs="Times New Roman"/>
          <w:b/>
          <w:bCs/>
          <w:lang w:val="en-US"/>
        </w:rPr>
        <w:t>legitimacy</w:t>
      </w:r>
      <w:r w:rsidRPr="00C87A00">
        <w:rPr>
          <w:rFonts w:ascii="Times New Roman" w:hAnsi="Times New Roman" w:cs="Times New Roman"/>
          <w:lang w:val="en-US"/>
        </w:rPr>
        <w:t xml:space="preserve"> of different forms of action. </w:t>
      </w:r>
      <w:r w:rsidR="00AA10DC">
        <w:rPr>
          <w:rFonts w:ascii="Times New Roman" w:hAnsi="Times New Roman" w:cs="Times New Roman"/>
          <w:lang w:val="en-US"/>
        </w:rPr>
        <w:t>Highly</w:t>
      </w:r>
      <w:r w:rsidRPr="00C87A00">
        <w:rPr>
          <w:rFonts w:ascii="Times New Roman" w:hAnsi="Times New Roman" w:cs="Times New Roman"/>
          <w:lang w:val="en-US"/>
        </w:rPr>
        <w:t xml:space="preserve"> self-efficacy</w:t>
      </w:r>
      <w:r w:rsidR="00AA10DC">
        <w:rPr>
          <w:rFonts w:ascii="Times New Roman" w:hAnsi="Times New Roman" w:cs="Times New Roman"/>
          <w:lang w:val="en-US"/>
        </w:rPr>
        <w:t xml:space="preserve"> students</w:t>
      </w:r>
      <w:r w:rsidRPr="00C87A00">
        <w:rPr>
          <w:rFonts w:ascii="Times New Roman" w:hAnsi="Times New Roman" w:cs="Times New Roman"/>
          <w:lang w:val="en-US"/>
        </w:rPr>
        <w:t>—regardless of their institutional trust—may view multiple forms of engagement as normatively acceptable</w:t>
      </w:r>
      <w:r w:rsidR="0045567A">
        <w:rPr>
          <w:rFonts w:ascii="Times New Roman" w:hAnsi="Times New Roman" w:cs="Times New Roman"/>
          <w:lang w:val="en-US"/>
        </w:rPr>
        <w:t xml:space="preserve"> and even </w:t>
      </w:r>
      <w:r w:rsidR="001D1708">
        <w:rPr>
          <w:rFonts w:ascii="Times New Roman" w:hAnsi="Times New Roman" w:cs="Times New Roman"/>
          <w:lang w:val="en-US"/>
        </w:rPr>
        <w:t>necessary</w:t>
      </w:r>
      <w:r w:rsidRPr="00C87A00">
        <w:rPr>
          <w:rFonts w:ascii="Times New Roman" w:hAnsi="Times New Roman" w:cs="Times New Roman"/>
          <w:lang w:val="en-US"/>
        </w:rPr>
        <w:t xml:space="preserve">. This supports prior findings among adults showing an increasing </w:t>
      </w:r>
      <w:r w:rsidRPr="00C87A00">
        <w:rPr>
          <w:rFonts w:ascii="Times New Roman" w:hAnsi="Times New Roman" w:cs="Times New Roman"/>
          <w:b/>
          <w:bCs/>
          <w:lang w:val="en-US"/>
        </w:rPr>
        <w:t>positive correlation</w:t>
      </w:r>
      <w:r w:rsidRPr="00C87A00">
        <w:rPr>
          <w:rFonts w:ascii="Times New Roman" w:hAnsi="Times New Roman" w:cs="Times New Roman"/>
          <w:lang w:val="en-US"/>
        </w:rPr>
        <w:t xml:space="preserve"> between protest and electoral participation.</w:t>
      </w:r>
    </w:p>
    <w:p w14:paraId="6D18AFA1" w14:textId="77777777" w:rsidR="00C87A00" w:rsidRPr="00C87A00" w:rsidRDefault="00C87A00" w:rsidP="00C87A00">
      <w:pPr>
        <w:spacing w:line="480" w:lineRule="auto"/>
        <w:jc w:val="both"/>
        <w:rPr>
          <w:rFonts w:ascii="Times New Roman" w:hAnsi="Times New Roman" w:cs="Times New Roman"/>
          <w:lang w:val="en-US"/>
        </w:rPr>
      </w:pPr>
    </w:p>
    <w:p w14:paraId="62B19CEA" w14:textId="11F79ED5" w:rsidR="001D1708"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Chile stands out as an exception. </w:t>
      </w:r>
      <w:r w:rsidR="001D1708">
        <w:rPr>
          <w:rFonts w:ascii="Times New Roman" w:hAnsi="Times New Roman" w:cs="Times New Roman"/>
          <w:lang w:val="en-US"/>
        </w:rPr>
        <w:t xml:space="preserve">In the last decade there have been an increasing gap between those who engage in protest and those who prefer to vote. So, while in the rest of the world voting and protesting are hand to hand, in Chile es </w:t>
      </w:r>
      <w:r w:rsidR="00694B45">
        <w:rPr>
          <w:rFonts w:ascii="Times New Roman" w:hAnsi="Times New Roman" w:cs="Times New Roman"/>
          <w:lang w:val="en-US"/>
        </w:rPr>
        <w:t>happening</w:t>
      </w:r>
      <w:r w:rsidR="001D1708">
        <w:rPr>
          <w:rFonts w:ascii="Times New Roman" w:hAnsi="Times New Roman" w:cs="Times New Roman"/>
          <w:lang w:val="en-US"/>
        </w:rPr>
        <w:t xml:space="preserve"> the contrary.</w:t>
      </w:r>
    </w:p>
    <w:p w14:paraId="74AB35F2" w14:textId="57E1F2CE" w:rsidR="00C87A00" w:rsidRDefault="001D1708" w:rsidP="00C87A00">
      <w:pPr>
        <w:spacing w:line="480" w:lineRule="auto"/>
        <w:jc w:val="both"/>
        <w:rPr>
          <w:rFonts w:ascii="Times New Roman" w:hAnsi="Times New Roman" w:cs="Times New Roman"/>
          <w:lang w:val="en-US"/>
        </w:rPr>
      </w:pPr>
      <w:r>
        <w:rPr>
          <w:rFonts w:ascii="Times New Roman" w:hAnsi="Times New Roman" w:cs="Times New Roman"/>
          <w:lang w:val="en-US"/>
        </w:rPr>
        <w:lastRenderedPageBreak/>
        <w:t xml:space="preserve">On the other hand, </w:t>
      </w:r>
      <w:r w:rsidR="00C87A00" w:rsidRPr="00C87A00">
        <w:rPr>
          <w:rFonts w:ascii="Times New Roman" w:hAnsi="Times New Roman" w:cs="Times New Roman"/>
          <w:lang w:val="en-US"/>
        </w:rPr>
        <w:t xml:space="preserve">we tested the </w:t>
      </w:r>
      <w:proofErr w:type="spellStart"/>
      <w:r w:rsidR="00C87A00" w:rsidRPr="00C87A00">
        <w:rPr>
          <w:rFonts w:ascii="Times New Roman" w:hAnsi="Times New Roman" w:cs="Times New Roman"/>
          <w:lang w:val="en-US"/>
        </w:rPr>
        <w:t>Gamson</w:t>
      </w:r>
      <w:proofErr w:type="spellEnd"/>
      <w:r w:rsidR="00C87A00" w:rsidRPr="00C87A00">
        <w:rPr>
          <w:rFonts w:ascii="Times New Roman" w:hAnsi="Times New Roman" w:cs="Times New Roman"/>
          <w:lang w:val="en-US"/>
        </w:rPr>
        <w:t xml:space="preserve"> hypothesis there during the peak of the social uprising, in a context where students were not just </w:t>
      </w:r>
      <w:r>
        <w:rPr>
          <w:rFonts w:ascii="Times New Roman" w:hAnsi="Times New Roman" w:cs="Times New Roman"/>
          <w:lang w:val="en-US"/>
        </w:rPr>
        <w:t>thinking about</w:t>
      </w:r>
      <w:r w:rsidR="00C87A00" w:rsidRPr="00C87A00">
        <w:rPr>
          <w:rFonts w:ascii="Times New Roman" w:hAnsi="Times New Roman" w:cs="Times New Roman"/>
          <w:lang w:val="en-US"/>
        </w:rPr>
        <w:t xml:space="preserve"> participation but deciding </w:t>
      </w:r>
      <w:proofErr w:type="gramStart"/>
      <w:r w:rsidR="00C87A00" w:rsidRPr="00C87A00">
        <w:rPr>
          <w:rFonts w:ascii="Times New Roman" w:hAnsi="Times New Roman" w:cs="Times New Roman"/>
          <w:lang w:val="en-US"/>
        </w:rPr>
        <w:t>whether or not</w:t>
      </w:r>
      <w:proofErr w:type="gramEnd"/>
      <w:r w:rsidR="00C87A00" w:rsidRPr="00C87A00">
        <w:rPr>
          <w:rFonts w:ascii="Times New Roman" w:hAnsi="Times New Roman" w:cs="Times New Roman"/>
          <w:lang w:val="en-US"/>
        </w:rPr>
        <w:t xml:space="preserve"> to act. That context of heightened tension likely made a difference.</w:t>
      </w:r>
    </w:p>
    <w:p w14:paraId="6AB6991D" w14:textId="77777777" w:rsidR="00C87A00" w:rsidRPr="00C87A00" w:rsidRDefault="00C87A00" w:rsidP="00C87A00">
      <w:pPr>
        <w:spacing w:line="480" w:lineRule="auto"/>
        <w:jc w:val="both"/>
        <w:rPr>
          <w:rFonts w:ascii="Times New Roman" w:hAnsi="Times New Roman" w:cs="Times New Roman"/>
          <w:lang w:val="en-US"/>
        </w:rPr>
      </w:pPr>
    </w:p>
    <w:p w14:paraId="67417C7F" w14:textId="77777777" w:rsidR="00C87A00" w:rsidRPr="00C87A00" w:rsidRDefault="00C87A00" w:rsidP="00C87A00">
      <w:pPr>
        <w:spacing w:line="480" w:lineRule="auto"/>
        <w:jc w:val="both"/>
        <w:rPr>
          <w:rFonts w:ascii="Times New Roman" w:hAnsi="Times New Roman" w:cs="Times New Roman"/>
          <w:lang w:val="en-US"/>
        </w:rPr>
      </w:pPr>
      <w:r w:rsidRPr="00C87A00">
        <w:rPr>
          <w:rFonts w:ascii="Times New Roman" w:hAnsi="Times New Roman" w:cs="Times New Roman"/>
          <w:lang w:val="en-US"/>
        </w:rPr>
        <w:t xml:space="preserve">Although we did not explore this issue in depth in the current analysis, this final figure shows the </w:t>
      </w:r>
      <w:r w:rsidRPr="00C87A00">
        <w:rPr>
          <w:rFonts w:ascii="Times New Roman" w:hAnsi="Times New Roman" w:cs="Times New Roman"/>
          <w:b/>
          <w:bCs/>
          <w:lang w:val="en-US"/>
        </w:rPr>
        <w:t>random intercepts</w:t>
      </w:r>
      <w:r w:rsidRPr="00C87A00">
        <w:rPr>
          <w:rFonts w:ascii="Times New Roman" w:hAnsi="Times New Roman" w:cs="Times New Roman"/>
          <w:lang w:val="en-US"/>
        </w:rPr>
        <w:t xml:space="preserve"> for both legal and illegal participation expectations across countries. As you can see, there is significant cross-country variation in both outcomes. This highlights the need to explore </w:t>
      </w:r>
      <w:r w:rsidRPr="00C87A00">
        <w:rPr>
          <w:rFonts w:ascii="Times New Roman" w:hAnsi="Times New Roman" w:cs="Times New Roman"/>
          <w:b/>
          <w:bCs/>
          <w:lang w:val="en-US"/>
        </w:rPr>
        <w:t>contextual factors</w:t>
      </w:r>
      <w:r w:rsidRPr="00C87A00">
        <w:rPr>
          <w:rFonts w:ascii="Times New Roman" w:hAnsi="Times New Roman" w:cs="Times New Roman"/>
          <w:lang w:val="en-US"/>
        </w:rPr>
        <w:t xml:space="preserve"> that may shape how young people around the world form their expectations about political participation.</w:t>
      </w:r>
    </w:p>
    <w:p w14:paraId="56521071" w14:textId="77777777" w:rsidR="00C76444" w:rsidRDefault="00C76444" w:rsidP="00C87A00">
      <w:pPr>
        <w:spacing w:line="480" w:lineRule="auto"/>
        <w:jc w:val="both"/>
        <w:rPr>
          <w:rFonts w:ascii="Times New Roman" w:hAnsi="Times New Roman" w:cs="Times New Roman"/>
          <w:lang w:val="en-US"/>
        </w:rPr>
      </w:pPr>
    </w:p>
    <w:p w14:paraId="1782FB00" w14:textId="36C29D58" w:rsidR="00666A9B" w:rsidRDefault="00666A9B" w:rsidP="00C87A00">
      <w:pPr>
        <w:spacing w:line="480" w:lineRule="auto"/>
        <w:jc w:val="both"/>
        <w:rPr>
          <w:rFonts w:ascii="Times New Roman" w:hAnsi="Times New Roman" w:cs="Times New Roman"/>
          <w:lang w:val="en-US"/>
        </w:rPr>
      </w:pPr>
      <w:r w:rsidRPr="00666A9B">
        <w:rPr>
          <w:rFonts w:ascii="Times New Roman" w:hAnsi="Times New Roman" w:cs="Times New Roman"/>
          <w:b/>
          <w:bCs/>
          <w:lang w:val="en-US"/>
        </w:rPr>
        <w:t xml:space="preserve">(In) </w:t>
      </w:r>
      <w:r w:rsidRPr="00666A9B">
        <w:rPr>
          <w:rFonts w:ascii="Times New Roman" w:hAnsi="Times New Roman" w:cs="Times New Roman"/>
          <w:b/>
          <w:bCs/>
          <w:lang w:val="en-US"/>
        </w:rPr>
        <w:t>Conclusion</w:t>
      </w:r>
      <w:r w:rsidRPr="00666A9B">
        <w:rPr>
          <w:rFonts w:ascii="Times New Roman" w:hAnsi="Times New Roman" w:cs="Times New Roman"/>
          <w:b/>
          <w:bCs/>
          <w:lang w:val="en-US"/>
        </w:rPr>
        <w:tab/>
      </w:r>
      <w:r w:rsidRPr="00666A9B">
        <w:rPr>
          <w:rFonts w:ascii="Times New Roman" w:hAnsi="Times New Roman" w:cs="Times New Roman"/>
          <w:lang w:val="en-US"/>
        </w:rPr>
        <w:br/>
        <w:t xml:space="preserve">Understanding the determinants behind political participation expectations among young people is essential for grasping the future of democratic engagement. Adolescents are not merely passive recipients of political messages—they are actively constructing their political identities and frameworks for action. By examining how self-efficacy and institutional trust interact to shape these expectations, we gain critical insight into the early stages of political socialization. These formative attitudes can influence not only whether young people choose to engage politically, but also </w:t>
      </w:r>
      <w:r w:rsidRPr="00666A9B">
        <w:rPr>
          <w:rFonts w:ascii="Times New Roman" w:hAnsi="Times New Roman" w:cs="Times New Roman"/>
          <w:i/>
          <w:iCs/>
          <w:lang w:val="en-US"/>
        </w:rPr>
        <w:t>how</w:t>
      </w:r>
      <w:r w:rsidRPr="00666A9B">
        <w:rPr>
          <w:rFonts w:ascii="Times New Roman" w:hAnsi="Times New Roman" w:cs="Times New Roman"/>
          <w:lang w:val="en-US"/>
        </w:rPr>
        <w:t xml:space="preserve"> they choose to do so—through conventional channels, disruptive protest, or not at all. Studying these dynamics across diverse national contexts also reveals the weight of institutional and sociopolitical environments in either fostering or limiting youth engagement. Ultimately, research like this helps us understand the roots of democratic participation and equips us to better support inclusive, responsive, and engaged civic cultures in the years to come.</w:t>
      </w:r>
    </w:p>
    <w:p w14:paraId="7B9F24BD" w14:textId="77777777" w:rsidR="00B43F94" w:rsidRDefault="00B43F94" w:rsidP="00C87A00">
      <w:pPr>
        <w:spacing w:line="480" w:lineRule="auto"/>
        <w:jc w:val="both"/>
        <w:rPr>
          <w:rFonts w:ascii="Times New Roman" w:hAnsi="Times New Roman" w:cs="Times New Roman"/>
          <w:lang w:val="en-US"/>
        </w:rPr>
      </w:pPr>
    </w:p>
    <w:p w14:paraId="05B2F4B9" w14:textId="77777777" w:rsidR="00B43F94" w:rsidRPr="00C87A00" w:rsidRDefault="00B43F94" w:rsidP="00C87A00">
      <w:pPr>
        <w:spacing w:line="480" w:lineRule="auto"/>
        <w:jc w:val="both"/>
        <w:rPr>
          <w:rFonts w:ascii="Times New Roman" w:hAnsi="Times New Roman" w:cs="Times New Roman"/>
          <w:lang w:val="en-US"/>
        </w:rPr>
      </w:pPr>
    </w:p>
    <w:sectPr w:rsidR="00B43F94" w:rsidRPr="00C87A00" w:rsidSect="00B303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E9250E"/>
    <w:multiLevelType w:val="multilevel"/>
    <w:tmpl w:val="60D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0B6B6E"/>
    <w:multiLevelType w:val="multilevel"/>
    <w:tmpl w:val="4A06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951903">
    <w:abstractNumId w:val="0"/>
  </w:num>
  <w:num w:numId="2" w16cid:durableId="877204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A00"/>
    <w:rsid w:val="00092C27"/>
    <w:rsid w:val="001B7404"/>
    <w:rsid w:val="001D1708"/>
    <w:rsid w:val="00273E57"/>
    <w:rsid w:val="00307001"/>
    <w:rsid w:val="003C1A22"/>
    <w:rsid w:val="0045567A"/>
    <w:rsid w:val="00553868"/>
    <w:rsid w:val="00584C08"/>
    <w:rsid w:val="005F130B"/>
    <w:rsid w:val="00666A9B"/>
    <w:rsid w:val="00694B45"/>
    <w:rsid w:val="006E7C4C"/>
    <w:rsid w:val="00843527"/>
    <w:rsid w:val="0090713F"/>
    <w:rsid w:val="009F5398"/>
    <w:rsid w:val="00AA10DC"/>
    <w:rsid w:val="00B3030C"/>
    <w:rsid w:val="00B43F94"/>
    <w:rsid w:val="00C73160"/>
    <w:rsid w:val="00C76444"/>
    <w:rsid w:val="00C87A00"/>
    <w:rsid w:val="00DD40C9"/>
    <w:rsid w:val="00F11DA6"/>
    <w:rsid w:val="00F270D6"/>
    <w:rsid w:val="00F936E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1D07E959"/>
  <w14:defaultImageDpi w14:val="32767"/>
  <w15:chartTrackingRefBased/>
  <w15:docId w15:val="{FF2A2559-38C5-2E42-A713-C79648E1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_trad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7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7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7A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7A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7A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7A0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7A0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7A0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7A0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7A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7A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7A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7A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7A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7A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7A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7A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7A00"/>
    <w:rPr>
      <w:rFonts w:eastAsiaTheme="majorEastAsia" w:cstheme="majorBidi"/>
      <w:color w:val="272727" w:themeColor="text1" w:themeTint="D8"/>
    </w:rPr>
  </w:style>
  <w:style w:type="paragraph" w:styleId="Ttulo">
    <w:name w:val="Title"/>
    <w:basedOn w:val="Normal"/>
    <w:next w:val="Normal"/>
    <w:link w:val="TtuloCar"/>
    <w:uiPriority w:val="10"/>
    <w:qFormat/>
    <w:rsid w:val="00C87A0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7A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7A0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7A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7A0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87A00"/>
    <w:rPr>
      <w:i/>
      <w:iCs/>
      <w:color w:val="404040" w:themeColor="text1" w:themeTint="BF"/>
    </w:rPr>
  </w:style>
  <w:style w:type="paragraph" w:styleId="Prrafodelista">
    <w:name w:val="List Paragraph"/>
    <w:basedOn w:val="Normal"/>
    <w:uiPriority w:val="34"/>
    <w:qFormat/>
    <w:rsid w:val="00C87A00"/>
    <w:pPr>
      <w:ind w:left="720"/>
      <w:contextualSpacing/>
    </w:pPr>
  </w:style>
  <w:style w:type="character" w:styleId="nfasisintenso">
    <w:name w:val="Intense Emphasis"/>
    <w:basedOn w:val="Fuentedeprrafopredeter"/>
    <w:uiPriority w:val="21"/>
    <w:qFormat/>
    <w:rsid w:val="00C87A00"/>
    <w:rPr>
      <w:i/>
      <w:iCs/>
      <w:color w:val="0F4761" w:themeColor="accent1" w:themeShade="BF"/>
    </w:rPr>
  </w:style>
  <w:style w:type="paragraph" w:styleId="Citadestacada">
    <w:name w:val="Intense Quote"/>
    <w:basedOn w:val="Normal"/>
    <w:next w:val="Normal"/>
    <w:link w:val="CitadestacadaCar"/>
    <w:uiPriority w:val="30"/>
    <w:qFormat/>
    <w:rsid w:val="00C87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7A00"/>
    <w:rPr>
      <w:i/>
      <w:iCs/>
      <w:color w:val="0F4761" w:themeColor="accent1" w:themeShade="BF"/>
    </w:rPr>
  </w:style>
  <w:style w:type="character" w:styleId="Referenciaintensa">
    <w:name w:val="Intense Reference"/>
    <w:basedOn w:val="Fuentedeprrafopredeter"/>
    <w:uiPriority w:val="32"/>
    <w:qFormat/>
    <w:rsid w:val="00C87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551642">
      <w:bodyDiv w:val="1"/>
      <w:marLeft w:val="0"/>
      <w:marRight w:val="0"/>
      <w:marTop w:val="0"/>
      <w:marBottom w:val="0"/>
      <w:divBdr>
        <w:top w:val="none" w:sz="0" w:space="0" w:color="auto"/>
        <w:left w:val="none" w:sz="0" w:space="0" w:color="auto"/>
        <w:bottom w:val="none" w:sz="0" w:space="0" w:color="auto"/>
        <w:right w:val="none" w:sz="0" w:space="0" w:color="auto"/>
      </w:divBdr>
    </w:div>
    <w:div w:id="1261333072">
      <w:bodyDiv w:val="1"/>
      <w:marLeft w:val="0"/>
      <w:marRight w:val="0"/>
      <w:marTop w:val="0"/>
      <w:marBottom w:val="0"/>
      <w:divBdr>
        <w:top w:val="none" w:sz="0" w:space="0" w:color="auto"/>
        <w:left w:val="none" w:sz="0" w:space="0" w:color="auto"/>
        <w:bottom w:val="none" w:sz="0" w:space="0" w:color="auto"/>
        <w:right w:val="none" w:sz="0" w:space="0" w:color="auto"/>
      </w:divBdr>
    </w:div>
    <w:div w:id="1651865173">
      <w:bodyDiv w:val="1"/>
      <w:marLeft w:val="0"/>
      <w:marRight w:val="0"/>
      <w:marTop w:val="0"/>
      <w:marBottom w:val="0"/>
      <w:divBdr>
        <w:top w:val="none" w:sz="0" w:space="0" w:color="auto"/>
        <w:left w:val="none" w:sz="0" w:space="0" w:color="auto"/>
        <w:bottom w:val="none" w:sz="0" w:space="0" w:color="auto"/>
        <w:right w:val="none" w:sz="0" w:space="0" w:color="auto"/>
      </w:divBdr>
    </w:div>
    <w:div w:id="176541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1260</Words>
  <Characters>6932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Andres Sanchez Barria</dc:creator>
  <cp:keywords/>
  <dc:description/>
  <cp:lastModifiedBy>Felipe Andres Sanchez Barria</cp:lastModifiedBy>
  <cp:revision>3</cp:revision>
  <cp:lastPrinted>2025-07-09T15:10:00Z</cp:lastPrinted>
  <dcterms:created xsi:type="dcterms:W3CDTF">2025-07-09T15:10:00Z</dcterms:created>
  <dcterms:modified xsi:type="dcterms:W3CDTF">2025-07-10T07:43:00Z</dcterms:modified>
</cp:coreProperties>
</file>