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800"/>
      </w:pPr>
      <w:r>
        <w:drawing>
          <wp:inline distT="0" distB="0" distL="0" distR="0">
            <wp:extent cx="2667000" cy="400050"/>
            <wp:effectExtent t="0" r="0" b="0" l="0"/>
            <wp:docPr id="1" name="kewazo-logo-cover" descr="KEWAZO wordmark" title="KEWA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Barlow" w:cs="Barlow" w:eastAsia="Barlow" w:hAnsi="Barlow"/>
          <w:b/>
          <w:bCs/>
          <w:color w:val="2B3037"/>
          <w:sz w:val="88"/>
          <w:szCs w:val="88"/>
        </w:rPr>
        <w:t xml:space="preserve">Design System</w:t>
      </w:r>
    </w:p>
    <w:p>
      <w:pPr>
        <w:spacing w:after="600" w:before="120"/>
      </w:pPr>
      <w:r>
        <w:rPr>
          <w:rFonts w:ascii="Barlow" w:cs="Barlow" w:eastAsia="Barlow" w:hAnsi="Barlow"/>
          <w:color w:val="1A5E59"/>
          <w:sz w:val="28"/>
          <w:szCs w:val="28"/>
        </w:rPr>
        <w:t xml:space="preserve">Brand &amp; Component Guidelines for Sales Enablement</w:t>
      </w:r>
    </w:p>
    <w:p>
      <w:pPr>
        <w:pBdr>
          <w:bottom w:val="single" w:color="40C0C0" w:sz="24" w:space="1"/>
        </w:pBdr>
        <w:spacing w:after="480"/>
      </w:pPr>
      <w:r>
        <w:rPr>
          <w:rFonts w:ascii="Barlow" w:cs="Barlow" w:eastAsia="Barlow" w:hAnsi="Barlow"/>
        </w:rPr>
        <w:t xml:space="preserve"/>
      </w:r>
    </w:p>
    <w:p>
      <w:r>
        <w:rPr>
          <w:rFonts w:ascii="Barlow" w:cs="Barlow" w:eastAsia="Barlow" w:hAnsi="Barlow"/>
          <w:color w:val="BABABB"/>
          <w:sz w:val="22"/>
          <w:szCs w:val="22"/>
        </w:rPr>
        <w:t xml:space="preserve">Version 1.0  ·  April 2026</w:t>
      </w:r>
    </w:p>
    <w:p>
      <w:r>
        <w:rPr>
          <w:rFonts w:ascii="Barlow" w:cs="Barlow" w:eastAsia="Barlow" w:hAnsi="Barlow"/>
          <w:color w:val="BABABB"/>
          <w:sz w:val="22"/>
          <w:szCs w:val="22"/>
        </w:rPr>
        <w:t xml:space="preserve">Maintained by KEWAZO Marketing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Barlow" w:cs="Barlow" w:eastAsia="Barlow" w:hAnsi="Barlow"/>
          <w:b/>
          <w:bCs/>
          <w:color w:val="2B3037"/>
          <w:sz w:val="36"/>
          <w:szCs w:val="36"/>
        </w:rPr>
        <w:t xml:space="preserve">About this guide</w:t>
      </w:r>
    </w:p>
    <w:p>
      <w:pPr>
        <w:pBdr>
          <w:bottom w:val="single" w:color="40C0C0" w:sz="8" w:space="1"/>
        </w:pBdr>
        <w:spacing w:after="240" w:before="60"/>
      </w:pPr>
      <w:r>
        <w:rPr>
          <w:rFonts w:ascii="Barlow" w:cs="Barlow" w:eastAsia="Barlow" w:hAnsi="Barlow"/>
        </w:rPr>
        <w:t xml:space="preserve"/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This document is the single source of truth for KEWAZO's customer-facing communications. It exists so every proposal, case study, and one-pager produced by Sales Enablement maintains a coherent visual voice — even when authored across teams or by external partners.</w:t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Use it as a reference when assembling decks, formatting reports, or briefing freelance designers. Pair it with the interactive HTML reference (kewazo-design-system.html) for click-to-copy tokens.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What's inside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Colours — Primary, secondary and print palettes with WCAG contrast ratings.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Typography — The Barlow type scale and weight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Logo — Wordmark usage, clear space, and co-branding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Components — Buttons, stat blocks, cards, tables and headers.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Barlow" w:cs="Barlow" w:eastAsia="Barlow" w:hAnsi="Barlow"/>
          <w:b/>
          <w:bCs/>
          <w:color w:val="2B3037"/>
          <w:sz w:val="36"/>
          <w:szCs w:val="36"/>
        </w:rPr>
        <w:t xml:space="preserve">01  ·  Colours</w:t>
      </w:r>
    </w:p>
    <w:p>
      <w:pPr>
        <w:pBdr>
          <w:bottom w:val="single" w:color="40C0C0" w:sz="8" w:space="1"/>
        </w:pBdr>
        <w:spacing w:after="240" w:before="60"/>
      </w:pPr>
      <w:r>
        <w:rPr>
          <w:rFonts w:ascii="Barlow" w:cs="Barlow" w:eastAsia="Barlow" w:hAnsi="Barlow"/>
        </w:rPr>
        <w:t xml:space="preserve"/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Since KEWAZO clearly values accessibility, the contrast ratio should be 4.5:1 or higher according to WCAG. Each scale ranges from 100 (lightest) to 900 (darkest); the brand base sits at 500.</w:t>
      </w:r>
    </w:p>
    <w:p>
      <w:pPr>
        <w:pStyle w:val="Heading2"/>
        <w:spacing w:after="120" w:before="240"/>
      </w:pPr>
      <w:r>
        <w:rPr>
          <w:rFonts w:ascii="Barlow" w:cs="Barlow" w:eastAsia="Barlow" w:hAnsi="Barlow"/>
          <w:b/>
          <w:bCs/>
          <w:color w:val="1A5E59"/>
          <w:sz w:val="28"/>
          <w:szCs w:val="28"/>
        </w:rPr>
        <w:t xml:space="preserve">Primary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KEWAZO Turquoise — #40C0C0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1F3331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Turquoise 900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#1F3331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Headlines on light surfaces. AAA 13:1.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14433E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Turquoise 800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#14433E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Body text on light. AAA 11:1.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1A5E59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Turquoise 700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#1A5E59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Active links, secondary headlines. AAA 7.5:1.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058B8C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Turquoise 600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#058B8C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Hover state for primary buttons. AA 4:1.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1EA7A6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Turquoise 500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#1EA7A6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Deeper teal accent. AA 4.5:1.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40C0C0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Turquoise 400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#40C0C0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Brand base. CTAs, banners, totals. AA 6:1.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A3DADB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Turquoise 300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#A3DADB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Charts, decorative accents.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D9F0F1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Turquoise 200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#D9F0F1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Muted backgrounds, table headers.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5FAFB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Turquoise 100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#F5FAFB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Surface tint for callout boxes.</w:t>
            </w:r>
          </w:p>
        </w:tc>
      </w:tr>
    </w:tbl>
    <w:p>
      <w:pPr>
        <w:spacing w:after="240"/>
      </w:pP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KEWAZO Bright — #D8E5E7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63D42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Bright 900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#263D42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Reserved for chart accents.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3E5A5D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Bright 800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#3E5A5D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Secondary copy on Bright surfaces.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51777C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Bright 700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#51777C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Headers paired with Bright base.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9FBDC1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Bright 500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#9FBDC1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Mid-tone accents.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D8E5E7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Bright 300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#D8E5E7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Brand base. Soft full-bleed backgrounds.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AFCFC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Bright 100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#FAFCFC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Lightest surface tint.</w:t>
            </w:r>
          </w:p>
        </w:tc>
      </w:tr>
    </w:tbl>
    <w:p>
      <w:pPr>
        <w:spacing w:after="240"/>
      </w:pP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KEWAZO Dark — #2B3037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1B1F24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Dark 900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#1B1F24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Maximum contrast text.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Dark 800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#2B3037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Brand base. Headlines, dark surfaces.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414C59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Dark 700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#414C59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Hover for secondary buttons.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7A899C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Dark 500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#7A899C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Body copy on Bright surfaces.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D7DEE6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Dark 300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#D7DEE6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Disabled state text.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5F7FB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Dark 100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#F5F7FB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Page backgrounds.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Barlow" w:cs="Barlow" w:eastAsia="Barlow" w:hAnsi="Barlow"/>
          <w:b/>
          <w:bCs/>
          <w:color w:val="1A5E59"/>
          <w:sz w:val="28"/>
          <w:szCs w:val="28"/>
        </w:rPr>
        <w:t xml:space="preserve">Secondary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Mono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191919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Mono 900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#191919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Black for print emphasis.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555555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Mono 700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#555555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Industrial dark. Crane comparison block.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BABABB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Mono 500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#BABABB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Light-mid divider.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EEEEEE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Mono 300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#EEEEEE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Subtle dividers.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Mono 100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Pure white surfaces.</w:t>
            </w:r>
          </w:p>
        </w:tc>
      </w:tr>
    </w:tbl>
    <w:p>
      <w:pPr>
        <w:spacing w:after="240"/>
      </w:pP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EC1010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Red 500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#EC1010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Critical alerts only. Never decorative.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EF3F3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Red 200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#FEF3F3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Soft alert backgrounds.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9EE89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Yellow 500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#F9EE89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Highlight markers. Use sparingly.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9FF93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Yellow 300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#F9FF93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Lightest highlight tint.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Barlow" w:cs="Barlow" w:eastAsia="Barlow" w:hAnsi="Barlow"/>
          <w:b/>
          <w:bCs/>
          <w:color w:val="1A5E59"/>
          <w:sz w:val="28"/>
          <w:szCs w:val="28"/>
        </w:rPr>
        <w:t xml:space="preserve">Print</w:t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Use the Pantone equivalents when printing case studies and brochures. Always proof-print before approving a final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00B2A9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Pantone 326C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#00B2A9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Primary print equivalent of Turquoise 500. C0 M92 Y40 K18.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056B6C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Turquoise 600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#056B6C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Print fallback / LIFTBOT v.2. C92 M0 Y30 K50.</w:t>
            </w:r>
          </w:p>
        </w:tc>
      </w:tr>
      <w:tr>
        <w:tc>
          <w:tcPr>
            <w:tcW w:type="dxa" w:w="22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4CB0C0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Print Tint</w:t>
            </w:r>
          </w:p>
        </w:tc>
        <w:tc>
          <w:tcPr>
            <w:tcW w:type="dxa" w:w="2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#4CB0C0</w:t>
            </w:r>
          </w:p>
        </w:tc>
        <w:tc>
          <w:tcPr>
            <w:tcW w:type="dxa" w:w="51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20"/>
                <w:szCs w:val="20"/>
              </w:rPr>
              <w:t xml:space="preserve">Tertiary print accent. C74 M0 Y22 K0.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Barlow" w:cs="Barlow" w:eastAsia="Barlow" w:hAnsi="Barlow"/>
          <w:b/>
          <w:bCs/>
          <w:color w:val="2B3037"/>
          <w:sz w:val="36"/>
          <w:szCs w:val="36"/>
        </w:rPr>
        <w:t xml:space="preserve">02  ·  Typography</w:t>
      </w:r>
    </w:p>
    <w:p>
      <w:pPr>
        <w:pBdr>
          <w:bottom w:val="single" w:color="40C0C0" w:sz="8" w:space="1"/>
        </w:pBdr>
        <w:spacing w:after="240" w:before="60"/>
      </w:pPr>
      <w:r>
        <w:rPr>
          <w:rFonts w:ascii="Barlow" w:cs="Barlow" w:eastAsia="Barlow" w:hAnsi="Barlow"/>
        </w:rPr>
        <w:t xml:space="preserve"/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KEWAZO uses Barlow across all surfaces — a slightly condensed grotesk built for industrial signage, highly legible at small sizes, and free under the SIL Open Font License.</w:t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Headlines lean on Bold (700) and ExtraBold (800). Body text stays at Regular (400). Always set numbers in tabular numerals to keep cost figures aligned in tables.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Display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color w:val="BABABB"/>
                <w:sz w:val="18"/>
                <w:szCs w:val="18"/>
              </w:rPr>
              <w:t xml:space="preserve">3.5rem / 1.05 · ExtraBold (800) · −0.02em</w:t>
            </w:r>
          </w:p>
        </w:tc>
        <w:tc>
          <w:tcPr>
            <w:tcW w:type="dxa" w:w="63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56"/>
                <w:szCs w:val="56"/>
              </w:rPr>
              <w:t xml:space="preserve">Sustainable construction.</w:t>
            </w:r>
          </w:p>
        </w:tc>
      </w:tr>
      <w:tr>
        <w:tc>
          <w:tcPr>
            <w:tcW w:type="dxa" w:w="3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Heading 1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color w:val="BABABB"/>
                <w:sz w:val="18"/>
                <w:szCs w:val="18"/>
              </w:rPr>
              <w:t xml:space="preserve">2.25rem / 1.15 · Bold (700) · −0.02em</w:t>
            </w:r>
          </w:p>
        </w:tc>
        <w:tc>
          <w:tcPr>
            <w:tcW w:type="dxa" w:w="63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36"/>
                <w:szCs w:val="36"/>
              </w:rPr>
              <w:t xml:space="preserve">Shell Chemicals Park Moerdijk</w:t>
            </w:r>
          </w:p>
        </w:tc>
      </w:tr>
      <w:tr>
        <w:tc>
          <w:tcPr>
            <w:tcW w:type="dxa" w:w="3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Heading 2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color w:val="BABABB"/>
                <w:sz w:val="18"/>
                <w:szCs w:val="18"/>
              </w:rPr>
              <w:t xml:space="preserve">1.625rem / 1.2 · Bold (700) · −0.02em</w:t>
            </w:r>
          </w:p>
        </w:tc>
        <w:tc>
          <w:tcPr>
            <w:tcW w:type="dxa" w:w="63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28"/>
                <w:szCs w:val="28"/>
              </w:rPr>
              <w:t xml:space="preserve">Cost savings analysis</w:t>
            </w:r>
          </w:p>
        </w:tc>
      </w:tr>
      <w:tr>
        <w:tc>
          <w:tcPr>
            <w:tcW w:type="dxa" w:w="3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Heading 3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color w:val="BABABB"/>
                <w:sz w:val="18"/>
                <w:szCs w:val="18"/>
              </w:rPr>
              <w:t xml:space="preserve">1.25rem / 1.3 · SemiBold (600) · −0.02em</w:t>
            </w:r>
          </w:p>
        </w:tc>
        <w:tc>
          <w:tcPr>
            <w:tcW w:type="dxa" w:w="63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Project efficiency</w:t>
            </w:r>
          </w:p>
        </w:tc>
      </w:tr>
      <w:tr>
        <w:tc>
          <w:tcPr>
            <w:tcW w:type="dxa" w:w="3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Body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color w:val="BABABB"/>
                <w:sz w:val="18"/>
                <w:szCs w:val="18"/>
              </w:rPr>
              <w:t xml:space="preserve">0.9375rem / 1.55 · Regular (400) · −0.02em</w:t>
            </w:r>
          </w:p>
        </w:tc>
        <w:tc>
          <w:tcPr>
            <w:tcW w:type="dxa" w:w="63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Barlow" w:cs="Barlow" w:eastAsia="Barlow" w:hAnsi="Barlow"/>
                <w:color w:val="2B3037"/>
                <w:sz w:val="22"/>
                <w:szCs w:val="22"/>
              </w:rPr>
              <w:t xml:space="preserve">FCC pre-turnaround scaffold built in 2.5 weeks at 125 ft height.</w:t>
            </w:r>
          </w:p>
        </w:tc>
      </w:tr>
      <w:tr>
        <w:tc>
          <w:tcPr>
            <w:tcW w:type="dxa" w:w="3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Caption / Label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color w:val="BABABB"/>
                <w:sz w:val="18"/>
                <w:szCs w:val="18"/>
              </w:rPr>
              <w:t xml:space="preserve">0.9rem / 1 · SemiBold (600) · UPPERCASE · −0.02em</w:t>
            </w:r>
          </w:p>
        </w:tc>
        <w:tc>
          <w:tcPr>
            <w:tcW w:type="dxa" w:w="63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Barlow" w:cs="Barlow" w:eastAsia="Barlow" w:hAnsi="Barlow"/>
                <w:b/>
                <w:bCs/>
                <w:caps/>
                <w:color w:val="2B3037"/>
                <w:spacing w:val="40"/>
                <w:sz w:val="28"/>
                <w:szCs w:val="28"/>
              </w:rPr>
              <w:t xml:space="preserve">Total operating time</w:t>
            </w:r>
          </w:p>
        </w:tc>
      </w:tr>
      <w:tr>
        <w:tc>
          <w:tcPr>
            <w:tcW w:type="dxa" w:w="30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Stat / Number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color w:val="BABABB"/>
                <w:sz w:val="18"/>
                <w:szCs w:val="18"/>
              </w:rPr>
              <w:t xml:space="preserve">2.75rem / 1 · ExtraBold (800) · −0.02em</w:t>
            </w:r>
          </w:p>
        </w:tc>
        <w:tc>
          <w:tcPr>
            <w:tcW w:type="dxa" w:w="63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Barlow" w:cs="Barlow" w:eastAsia="Barlow" w:hAnsi="Barlow"/>
                <w:b/>
                <w:bCs/>
                <w:color w:val="2B3037"/>
                <w:sz w:val="44"/>
                <w:szCs w:val="44"/>
              </w:rPr>
              <w:t xml:space="preserve">92,885 kg</w:t>
            </w:r>
          </w:p>
        </w:tc>
      </w:tr>
    </w:tbl>
    <w:p>
      <w:pPr>
        <w:spacing w:after="240"/>
      </w:pP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Weight palette</w:t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Barlow is available in 9 weights from Thin (100) to Black (900). KEWAZO uses 5: Regular, Medium, SemiBold, Bold, and ExtraBold.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Regular (400) — body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Medium (500) — captions, table column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SemiBold (600) — H3 and inline emphasis.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Bold (700) — H1 and H2.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ExtraBold (800) — display and stat numbers.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Barlow" w:cs="Barlow" w:eastAsia="Barlow" w:hAnsi="Barlow"/>
          <w:b/>
          <w:bCs/>
          <w:color w:val="2B3037"/>
          <w:sz w:val="36"/>
          <w:szCs w:val="36"/>
        </w:rPr>
        <w:t xml:space="preserve">03  ·  Logo</w:t>
      </w:r>
    </w:p>
    <w:p>
      <w:pPr>
        <w:pBdr>
          <w:bottom w:val="single" w:color="40C0C0" w:sz="8" w:space="1"/>
        </w:pBdr>
        <w:spacing w:after="240" w:before="60"/>
      </w:pPr>
      <w:r>
        <w:rPr>
          <w:rFonts w:ascii="Barlow" w:cs="Barlow" w:eastAsia="Barlow" w:hAnsi="Barlow"/>
        </w:rPr>
        <w:t xml:space="preserve"/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The KEWAZO wordmark is the foundation of every customer-facing artefact. Pair it with a clear-space buffer equal to the cap-height of the “K” on every side.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Wordmark variants</w:t>
      </w:r>
    </w:p>
    <w:p>
      <w:pPr>
        <w:spacing w:after="160" w:before="80"/>
        <w:jc w:val="center"/>
      </w:pPr>
      <w:r>
        <w:drawing>
          <wp:inline distT="0" distB="0" distL="0" distR="0">
            <wp:extent cx="3048000" cy="457200"/>
            <wp:effectExtent t="0" r="0" b="0" l="0"/>
            <wp:docPr id="1" name="kewazo-logo" descr="KEWAZO wordmark" title="KEWA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Barlow" w:cs="Barlow" w:eastAsia="Barlow" w:hAnsi="Barlow"/>
          <w:i/>
          <w:iCs/>
          <w:color w:val="BABABB"/>
          <w:sz w:val="18"/>
          <w:szCs w:val="18"/>
        </w:rPr>
        <w:t xml:space="preserve">Primary — Dark 800 on light surfaces</w:t>
      </w:r>
    </w:p>
    <w:p>
      <w:pPr>
        <w:spacing w:after="160" w:before="80"/>
        <w:jc w:val="center"/>
      </w:pPr>
      <w:r>
        <w:drawing>
          <wp:inline distT="0" distB="0" distL="0" distR="0">
            <wp:extent cx="3048000" cy="457200"/>
            <wp:effectExtent t="0" r="0" b="0" l="0"/>
            <wp:docPr id="1" name="kewazo-logo" descr="KEWAZO wordmark" title="KEWA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Barlow" w:cs="Barlow" w:eastAsia="Barlow" w:hAnsi="Barlow"/>
          <w:i/>
          <w:iCs/>
          <w:color w:val="BABABB"/>
          <w:sz w:val="18"/>
          <w:szCs w:val="18"/>
        </w:rPr>
        <w:t xml:space="preserve">Reversed — White on Dark 800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Primary: Dark 800 wordmark on white or Bright 100 surfaces.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Reversed: White wordmark on Dark 800 or Turquoise 400 surfaces.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Single colour: Always Dark 800 or White. Never recoloured.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Clear space &amp; minimum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Clear space = X (the cap-height of the “K”). Maintain on all four sides.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Minimum size: 60 px on screen, 18 mm in print.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Co-branding rules</w:t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When pairing with partners (Shell, Bilfinger, Dow, BrandSafway, Flint Hills, Turner Industries, Bechtel…), use a 1px Mono-300 vertical divider between marks. Keep all logos optically aligned to the same x-height. Order: KEWAZO on the left, partners on the right.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Use the wordmark in Dark 800 or pure white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Maintain the clear space buffer on all sides.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Lock the kerning — never adjust character spacing manually.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Pair with the partner mark using a 1px Mono-300 divider.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color w:val="EC1010"/>
          <w:sz w:val="22"/>
          <w:szCs w:val="22"/>
        </w:rPr>
        <w:t xml:space="preserve">Don't recolour with non-brand hues, gradients, or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color w:val="EC1010"/>
          <w:sz w:val="22"/>
          <w:szCs w:val="22"/>
        </w:rPr>
        <w:t xml:space="preserve">Don't distort, skew, italicise, or stretch the wordmark.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color w:val="EC1010"/>
          <w:sz w:val="22"/>
          <w:szCs w:val="22"/>
        </w:rPr>
        <w:t xml:space="preserve">Don't add drop shadows, outlines, glows, or 3D effects.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color w:val="EC1010"/>
          <w:sz w:val="22"/>
          <w:szCs w:val="22"/>
        </w:rPr>
        <w:t xml:space="preserve">Don't place over busy imagery without a darkening scrim (≥65% opacity).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Barlow" w:cs="Barlow" w:eastAsia="Barlow" w:hAnsi="Barlow"/>
          <w:b/>
          <w:bCs/>
          <w:color w:val="2B3037"/>
          <w:sz w:val="36"/>
          <w:szCs w:val="36"/>
        </w:rPr>
        <w:t xml:space="preserve">04  ·  Components</w:t>
      </w:r>
    </w:p>
    <w:p>
      <w:pPr>
        <w:pBdr>
          <w:bottom w:val="single" w:color="40C0C0" w:sz="8" w:space="1"/>
        </w:pBdr>
        <w:spacing w:after="240" w:before="60"/>
      </w:pPr>
      <w:r>
        <w:rPr>
          <w:rFonts w:ascii="Barlow" w:cs="Barlow" w:eastAsia="Barlow" w:hAnsi="Barlow"/>
        </w:rPr>
        <w:t xml:space="preserve"/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Reusable building blocks for Sales Enablement artefacts. Compose them following the templates at the end of this guide.</w:t>
      </w:r>
    </w:p>
    <w:p>
      <w:pPr>
        <w:pStyle w:val="Heading2"/>
        <w:spacing w:after="120" w:before="240"/>
      </w:pPr>
      <w:r>
        <w:rPr>
          <w:rFonts w:ascii="Barlow" w:cs="Barlow" w:eastAsia="Barlow" w:hAnsi="Barlow"/>
          <w:b/>
          <w:bCs/>
          <w:color w:val="1A5E59"/>
          <w:sz w:val="28"/>
          <w:szCs w:val="28"/>
        </w:rPr>
        <w:t xml:space="preserve">Buttons</w:t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Use one primary button per page. Reserve secondary (Dark 800) for download or PDF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Tokens</w:t>
            </w:r>
          </w:p>
        </w:tc>
      </w:tr>
      <w:tr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40C0C0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Request a quote</w:t>
            </w:r>
          </w:p>
        </w:tc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7A899C"/>
                <w:sz w:val="20"/>
                <w:szCs w:val="20"/>
              </w:rPr>
              <w:t xml:space="preserve">Primary CTA · highest weight action.</w:t>
            </w:r>
          </w:p>
        </w:tc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18"/>
                <w:szCs w:val="18"/>
              </w:rPr>
              <w:t xml:space="preserve">bg Turquoise 500 · text White · radius 6 px</w:t>
            </w:r>
          </w:p>
        </w:tc>
      </w:tr>
      <w:tr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Download PDF</w:t>
            </w:r>
          </w:p>
        </w:tc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7A899C"/>
                <w:sz w:val="20"/>
                <w:szCs w:val="20"/>
              </w:rPr>
              <w:t xml:space="preserve">Secondary action on light backgrounds.</w:t>
            </w:r>
          </w:p>
        </w:tc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18"/>
                <w:szCs w:val="18"/>
              </w:rPr>
              <w:t xml:space="preserve">bg Dark 800 · text White · radius 6 px</w:t>
            </w:r>
          </w:p>
        </w:tc>
      </w:tr>
      <w:tr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Learn more</w:t>
            </w:r>
          </w:p>
        </w:tc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7A899C"/>
                <w:sz w:val="20"/>
                <w:szCs w:val="20"/>
              </w:rPr>
              <w:t xml:space="preserve">Tertiary action; pairs with primary.</w:t>
            </w:r>
          </w:p>
        </w:tc>
        <w:tc>
          <w:tcPr>
            <w:tcW w:type="dxa" w:w="312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color w:val="BABABB"/>
                <w:sz w:val="18"/>
                <w:szCs w:val="18"/>
              </w:rPr>
              <w:t xml:space="preserve">border Dark 800 1 px · text Dark 800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Barlow" w:cs="Barlow" w:eastAsia="Barlow" w:hAnsi="Barlow"/>
          <w:b/>
          <w:bCs/>
          <w:color w:val="1A5E59"/>
          <w:sz w:val="28"/>
          <w:szCs w:val="28"/>
        </w:rPr>
        <w:t xml:space="preserve">Stat blocks</w:t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Big-number stat blocks anchor every case study. Always pair with an UPPERCASE caption underneath.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Barlow" w:cs="Barlow" w:eastAsia="Barlow" w:hAnsi="Barlow"/>
                <w:caps/>
                <w:color w:val="BABABB"/>
                <w:spacing w:val="30"/>
                <w:sz w:val="16"/>
                <w:szCs w:val="16"/>
              </w:rPr>
              <w:t xml:space="preserve">Total loads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36"/>
                <w:szCs w:val="36"/>
              </w:rPr>
              <w:t xml:space="preserve">92,885 kg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Barlow" w:cs="Barlow" w:eastAsia="Barlow" w:hAnsi="Barlow"/>
                <w:caps/>
                <w:color w:val="BABABB"/>
                <w:spacing w:val="30"/>
                <w:sz w:val="16"/>
                <w:szCs w:val="16"/>
              </w:rPr>
              <w:t xml:space="preserve">Operating time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36"/>
                <w:szCs w:val="36"/>
              </w:rPr>
              <w:t xml:space="preserve">216 hrs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Barlow" w:cs="Barlow" w:eastAsia="Barlow" w:hAnsi="Barlow"/>
                <w:caps/>
                <w:color w:val="BABABB"/>
                <w:spacing w:val="30"/>
                <w:sz w:val="16"/>
                <w:szCs w:val="16"/>
              </w:rPr>
              <w:t xml:space="preserve">Cycles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36"/>
                <w:szCs w:val="36"/>
              </w:rPr>
              <w:t xml:space="preserve">1,176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Barlow" w:cs="Barlow" w:eastAsia="Barlow" w:hAnsi="Barlow"/>
                <w:caps/>
                <w:color w:val="BABABB"/>
                <w:spacing w:val="30"/>
                <w:sz w:val="16"/>
                <w:szCs w:val="16"/>
              </w:rPr>
              <w:t xml:space="preserve">Best day</w:t>
            </w:r>
          </w:p>
          <w:p>
            <w:pPr>
              <w:spacing w:before="60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36"/>
                <w:szCs w:val="36"/>
              </w:rPr>
              <w:t xml:space="preserve">6,200 kg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Barlow" w:cs="Barlow" w:eastAsia="Barlow" w:hAnsi="Barlow"/>
          <w:b/>
          <w:bCs/>
          <w:color w:val="1A5E59"/>
          <w:sz w:val="28"/>
          <w:szCs w:val="28"/>
        </w:rPr>
        <w:t xml:space="preserve">Tables</w:t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Use tables for cost-savings breakdowns and equipment line items. Always highlight the total row in Turquoise 500 with white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2B3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4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2B3037"/>
                <w:sz w:val="22"/>
                <w:szCs w:val="22"/>
              </w:rPr>
              <w:t xml:space="preserve">Crane cost savings</w:t>
            </w:r>
          </w:p>
        </w:tc>
        <w:tc>
          <w:tcPr>
            <w:tcW w:type="dxa" w:w="39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$51,200</w:t>
            </w:r>
          </w:p>
        </w:tc>
      </w:tr>
      <w:tr>
        <w:tc>
          <w:tcPr>
            <w:tcW w:type="dxa" w:w="54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2B3037"/>
                <w:sz w:val="22"/>
                <w:szCs w:val="22"/>
              </w:rPr>
              <w:t xml:space="preserve">Labor cost savings</w:t>
            </w:r>
          </w:p>
        </w:tc>
        <w:tc>
          <w:tcPr>
            <w:tcW w:type="dxa" w:w="39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$12,800</w:t>
            </w:r>
          </w:p>
        </w:tc>
      </w:tr>
      <w:tr>
        <w:tc>
          <w:tcPr>
            <w:tcW w:type="dxa" w:w="54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2B3037"/>
                <w:sz w:val="22"/>
                <w:szCs w:val="22"/>
              </w:rPr>
              <w:t xml:space="preserve">LIFTBOT rental cost</w:t>
            </w:r>
          </w:p>
        </w:tc>
        <w:tc>
          <w:tcPr>
            <w:tcW w:type="dxa" w:w="39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Barlow" w:cs="Barlow" w:eastAsia="Barlow" w:hAnsi="Barlow"/>
                <w:b/>
                <w:bCs/>
                <w:color w:val="2B3037"/>
                <w:sz w:val="22"/>
                <w:szCs w:val="22"/>
              </w:rPr>
              <w:t xml:space="preserve">$21,000</w:t>
            </w:r>
          </w:p>
        </w:tc>
      </w:tr>
      <w:tr>
        <w:tc>
          <w:tcPr>
            <w:tcW w:type="dxa" w:w="540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40C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2"/>
                <w:szCs w:val="22"/>
              </w:rPr>
              <w:t xml:space="preserve">NET COST SAVINGS</w:t>
            </w:r>
          </w:p>
        </w:tc>
        <w:tc>
          <w:tcPr>
            <w:tcW w:type="dxa" w:w="3960"/>
            <w:tcBorders>
              <w:top w:val="single" w:color="E6E8EB" w:sz="4"/>
              <w:left w:val="single" w:color="E6E8EB" w:sz="4"/>
              <w:bottom w:val="single" w:color="E6E8EB" w:sz="4"/>
              <w:right w:val="single" w:color="E6E8EB" w:sz="4"/>
            </w:tcBorders>
            <w:shd w:fill="40C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4"/>
                <w:szCs w:val="24"/>
              </w:rPr>
              <w:t xml:space="preserve">$43,000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Barlow" w:cs="Barlow" w:eastAsia="Barlow" w:hAnsi="Barlow"/>
          <w:b/>
          <w:bCs/>
          <w:color w:val="1A5E59"/>
          <w:sz w:val="28"/>
          <w:szCs w:val="28"/>
        </w:rPr>
        <w:t xml:space="preserve">Cards</w:t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Use highlight boxes (white card, 1px border, 8px radius, 4px subtle shadow) to surface project highlights in the corner of a hero image. Use cost-comparison cards (white card, 2px Turquoise 500 border on the LIFTBOT side) to draw the eye to the savings.</w:t>
      </w:r>
    </w:p>
    <w:p>
      <w:pPr>
        <w:pStyle w:val="Heading2"/>
        <w:spacing w:after="120" w:before="240"/>
      </w:pPr>
      <w:r>
        <w:rPr>
          <w:rFonts w:ascii="Barlow" w:cs="Barlow" w:eastAsia="Barlow" w:hAnsi="Barlow"/>
          <w:b/>
          <w:bCs/>
          <w:color w:val="1A5E59"/>
          <w:sz w:val="28"/>
          <w:szCs w:val="28"/>
        </w:rPr>
        <w:t xml:space="preserve">Header bar</w:t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Every customer artefact opens with a header lockup: KEWAZO on the left, partners on the right, divided by a 1px Mono-300 vertical rule.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Barlow" w:cs="Barlow" w:eastAsia="Barlow" w:hAnsi="Barlow"/>
          <w:b/>
          <w:bCs/>
          <w:color w:val="2B3037"/>
          <w:sz w:val="36"/>
          <w:szCs w:val="36"/>
        </w:rPr>
        <w:t xml:space="preserve">05  ·  Sales Enablement templates</w:t>
      </w:r>
    </w:p>
    <w:p>
      <w:pPr>
        <w:pBdr>
          <w:bottom w:val="single" w:color="40C0C0" w:sz="8" w:space="1"/>
        </w:pBdr>
        <w:spacing w:after="240" w:before="60"/>
      </w:pPr>
      <w:r>
        <w:rPr>
          <w:rFonts w:ascii="Barlow" w:cs="Barlow" w:eastAsia="Barlow" w:hAnsi="Barlow"/>
        </w:rPr>
        <w:t xml:space="preserve"/>
      </w:r>
    </w:p>
    <w:p>
      <w:pPr>
        <w:spacing w:after="120" w:line="320"/>
      </w:pPr>
      <w:r>
        <w:rPr>
          <w:rFonts w:ascii="Barlow" w:cs="Barlow" w:eastAsia="Barlow" w:hAnsi="Barlow"/>
          <w:color w:val="7A899C"/>
          <w:sz w:val="22"/>
          <w:szCs w:val="22"/>
        </w:rPr>
        <w:t xml:space="preserve">Three composition patterns cover ~90% of customer-facing artefacts. Use them as starting points.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Case study 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Header lockup (KEWAZO + partner) at the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Project name as Heading 1; date period as Caption underneath.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4-up stat grid below the title.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Hero image on the right, with HIGHLIGHTS callout overlaid bottom-left.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Cost-savings one-pager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Header lockup at the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Two cost-comparison cards side-by-side (Crane vs LIFTBOT).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Savings banner spanning full width with the headline figure.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Methodology note at the bottom in 12 px Mono 500.</w:t>
      </w:r>
    </w:p>
    <w:p>
      <w:pPr>
        <w:pStyle w:val="Heading3"/>
        <w:spacing w:after="80" w:before="160"/>
      </w:pPr>
      <w:r>
        <w:rPr>
          <w:rFonts w:ascii="Barlow" w:cs="Barlow" w:eastAsia="Barlow" w:hAnsi="Barlow"/>
          <w:b/>
          <w:bCs/>
          <w:caps/>
          <w:color w:val="2B3037"/>
          <w:spacing w:val="30"/>
          <w:sz w:val="22"/>
          <w:szCs w:val="22"/>
        </w:rPr>
        <w:t xml:space="preserve">Project efficiency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Header lockup at the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Hero stat (e.g., 330 hrs) at full width with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Savings breakdown table, total row highlighted.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Barlow" w:cs="Barlow" w:eastAsia="Barlow" w:hAnsi="Barlow"/>
          <w:sz w:val="22"/>
          <w:szCs w:val="22"/>
        </w:rPr>
        <w:t xml:space="preserve">Project overview paragraph at the bottom.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Barlow" w:cs="Barlow" w:eastAsia="Barlow" w:hAnsi="Barlow"/>
        <w:color w:val="BABABB"/>
        <w:sz w:val="16"/>
        <w:szCs w:val="16"/>
      </w:rPr>
      <w:t xml:space="preserve">KEWAZO Design System</w:t>
    </w:r>
    <w:r>
      <w:rPr>
        <w:rFonts w:ascii="Barlow" w:cs="Barlow" w:eastAsia="Barlow" w:hAnsi="Barlow"/>
        <w:color w:val="BABABB"/>
        <w:sz w:val="16"/>
        <w:szCs w:val="16"/>
      </w:rPr>
      <w:t xml:space="preserve">	Page </w:t>
    </w:r>
    <w:r>
      <w:rPr>
        <w:rFonts w:ascii="Barlow" w:cs="Barlow" w:eastAsia="Barlow" w:hAnsi="Barlow"/>
        <w:color w:val="BABA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jc w:val="left"/>
    </w:pPr>
    <w:r>
      <w:rPr>
        <w:rFonts w:ascii="Barlow" w:cs="Barlow" w:eastAsia="Barlow" w:hAnsi="Barlow"/>
        <w:b/>
        <w:bCs/>
        <w:color w:val="2B3037"/>
        <w:spacing w:val="30"/>
        <w:sz w:val="24"/>
        <w:szCs w:val="24"/>
      </w:rPr>
      <w:t xml:space="preserve">KEWAZO</w:t>
    </w:r>
    <w:r>
      <w:rPr>
        <w:rFonts w:ascii="Barlow" w:cs="Barlow" w:eastAsia="Barlow" w:hAnsi="Barlow"/>
        <w:color w:val="BABABB"/>
        <w:sz w:val="18"/>
        <w:szCs w:val="18"/>
      </w:rPr>
      <w:t xml:space="preserve">  ·  Design System v1.0</w:t>
    </w:r>
    <w:r>
      <w:rPr>
        <w:rFonts w:ascii="Barlow" w:cs="Barlow" w:eastAsia="Barlow" w:hAnsi="Barlow"/>
        <w:color w:val="BABABB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Barlow" w:cs="Barlow" w:eastAsia="Barlow" w:hAnsi="Barlow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Barlow" w:cs="Barlow" w:eastAsia="Barlow" w:hAnsi="Barlow"/>
      <w:b/>
      <w:bCs/>
      <w:color w:val="2B30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Barlow" w:cs="Barlow" w:eastAsia="Barlow" w:hAnsi="Barlow"/>
      <w:b/>
      <w:bCs/>
      <w:color w:val="1A5E5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Barlow" w:cs="Barlow" w:eastAsia="Barlow" w:hAnsi="Barlow"/>
      <w:b/>
      <w:bCs/>
      <w:color w:val="2B30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2e03583a9e32068e9786656a1358aaf8e2d2dc.png"/><Relationship Id="rId10" Type="http://schemas.openxmlformats.org/officeDocument/2006/relationships/image" Target="media/1ef0b291cfab5d10862ed793f614b0a7b2b6b5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KEWAZO Design System</dc:title>
  <dc:creator>KEWAZO Marketing</dc:creator>
  <dc:description>Brand and component guidelines for Sales Enablement</dc:description>
  <cp:lastModifiedBy>Un-named</cp:lastModifiedBy>
  <cp:revision>1</cp:revision>
  <dcterms:created xsi:type="dcterms:W3CDTF">2026-04-29T13:14:03.049Z</dcterms:created>
  <dcterms:modified xsi:type="dcterms:W3CDTF">2026-04-29T13:14:03.050Z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