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Damiso Hutchinson</w:t>
      </w:r>
    </w:p>
    <w:p>
      <w:pPr>
        <w:pStyle w:val="Body"/>
        <w:bidi w:val="0"/>
      </w:pPr>
      <w:r>
        <w:rPr>
          <w:rtl w:val="0"/>
        </w:rPr>
        <w:t>3/20/2021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Homework Assignment #1</w:t>
      </w:r>
    </w:p>
    <w:p>
      <w:pPr>
        <w:pStyle w:val="Body"/>
        <w:bidi w:val="0"/>
      </w:pPr>
      <w:r>
        <w:rPr>
          <w:rtl w:val="0"/>
        </w:rPr>
        <w:t xml:space="preserve">Excel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Conclusion drawn based on data provided: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Most campaigns are successful of reaching their targeted goal amount.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Theater campaigns have the most successful campaigns.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Music category has the highest success rate at 77%.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