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2D3436"/>
          <w:sz w:val="44"/>
          <w:szCs w:val="44"/>
        </w:rPr>
        <w:t xml:space="preserve">Agent Card</w:t>
      </w:r>
    </w:p>
    <w:p>
      <w:pPr>
        <w:pBdr>
          <w:bottom w:val="single" w:color="6C8C7C" w:sz="3" w:space="6"/>
        </w:pBdr>
        <w:spacing w:after="200"/>
      </w:pPr>
      <w:r>
        <w:rPr>
          <w:rFonts w:ascii="Georgia" w:cs="Georgia" w:eastAsia="Georgia" w:hAnsi="Georgia"/>
          <w:i/>
          <w:iCs/>
          <w:color w:val="7F8C8D"/>
          <w:sz w:val="20"/>
          <w:szCs w:val="20"/>
        </w:rPr>
        <w:t xml:space="preserve">Responsible AI documentation for your Copilot Studio agent. Adapted from the AWS Model Card framework. Replace all italic text with your details.</w:t>
      </w:r>
    </w:p>
    <w:p>
      <w:pPr>
        <w:pStyle w:val="Heading1"/>
      </w:pPr>
      <w:r>
        <w:t xml:space="preserve">1. Agent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Agent Name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[Your agent name]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Version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[e.g. 1.0]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Underlying Model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[e.g. GPT-5 Chat (GA)]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Platform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[e.g. Microsoft Copilot Studio]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Deployment Channels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[e.g. Microsoft Teams, M365 Copilot Chat]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Date Published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Owner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[Name and team]</w:t>
            </w:r>
          </w:p>
        </w:tc>
      </w:tr>
      <w:tr>
        <w:tc>
          <w:tcPr>
            <w:tcW w:type="dxa" w:w="3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2D3436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58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A0937D"/>
                <w:sz w:val="20"/>
                <w:szCs w:val="20"/>
              </w:rPr>
              <w:t xml:space="preserve">[Low / Medium / High, with brief justification]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Intended Use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[Describe what the agent is designed to do, in 2 to 3 sentences. Example: This agent answers governance and compliance queries by searching a curated internal document library and selected regulatory websites.]</w:t>
      </w:r>
    </w:p>
    <w:p>
      <w:pPr>
        <w:spacing w:after="100"/>
      </w:pPr>
    </w:p>
    <w:p>
      <w:pPr>
        <w:pStyle w:val="Heading2"/>
      </w:pPr>
      <w:r>
        <w:t xml:space="preserve">Intended Users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[Who should use this agent? Example: Company Secretarial team (3 users).]</w:t>
      </w:r>
    </w:p>
    <w:p>
      <w:pPr>
        <w:spacing w:after="100"/>
      </w:pPr>
    </w:p>
    <w:p>
      <w:pPr>
        <w:pStyle w:val="Heading2"/>
      </w:pPr>
      <w:r>
        <w:t xml:space="preserve">Out of Scope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[What should this agent NOT be used for? Example: Legal advice, HR queries, Board minute lookups, confidential commercial matters.]</w:t>
      </w:r>
    </w:p>
    <w:p>
      <w:pPr>
        <w:spacing w:after="100"/>
      </w:pPr>
    </w:p>
    <w:p>
      <w:pPr>
        <w:pStyle w:val="Heading1"/>
      </w:pPr>
      <w:r>
        <w:t xml:space="preserve">3. Knowledge Sources</w:t>
      </w:r>
    </w:p>
    <w:p>
      <w:pPr>
        <w:pStyle w:val="Heading2"/>
      </w:pPr>
      <w:r>
        <w:t xml:space="preserve">Connected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[List each knowledge source: type, content, and status. Example:
- SharePoint: Governance Knowledge Base (Articles of Association, Board Regulations, Committee ToRs, Policies) / Active
- cnmv.es: Spanish securities regulator / Active (scoped web search)]</w:t>
      </w:r>
    </w:p>
    <w:p>
      <w:pPr>
        <w:spacing w:after="100"/>
      </w:pPr>
    </w:p>
    <w:p>
      <w:pPr>
        <w:pStyle w:val="Heading2"/>
      </w:pPr>
      <w:r>
        <w:t xml:space="preserve">Deliberately Excluded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[List what you chose NOT to include and why. Example:
- Board minutes: excluded due to sensitivity and access control complexity. Planned for Phase 3.
- Full legislation text: excluded due to retrieval noise. Using scoped web search instead.]</w:t>
      </w:r>
    </w:p>
    <w:p>
      <w:pPr>
        <w:spacing w:after="100"/>
      </w:pPr>
    </w:p>
    <w:p>
      <w:pPr>
        <w:pStyle w:val="Heading1"/>
      </w:pPr>
      <w:r>
        <w:t xml:space="preserve">4. Guardrails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[List the key controls you've put in place. Example:
- Mandatory source citations on every factual claim.
- General knowledge (model training data) disabled.
- Web search scoped to 3 authoritative regulatory domains.
- System prompt includes explicit "never fabricate" instruction.
- Agent cannot take actions (information only).]</w:t>
      </w:r>
    </w:p>
    <w:p>
      <w:pPr>
        <w:spacing w:after="100"/>
      </w:pPr>
    </w:p>
    <w:p>
      <w:pPr>
        <w:pStyle w:val="Heading1"/>
      </w:pPr>
      <w:r>
        <w:t xml:space="preserve">5. Known Limitations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[Be honest about what the agent cannot do or where it might struggle. Example:
- Cannot access Board or Committee minutes.
- May be less effective with Spanish-language regulatory documents.
- Complex queries may take 30 to 60 seconds.
- Does not remember previous conversations across sessions.]</w:t>
      </w:r>
    </w:p>
    <w:p>
      <w:pPr>
        <w:spacing w:after="100"/>
      </w:pPr>
    </w:p>
    <w:p>
      <w:pPr>
        <w:pStyle w:val="Heading1"/>
      </w:pPr>
      <w:r>
        <w:t xml:space="preserve">6. Bias and Fairness Considerations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[Note any potential biases. Example:
- The underlying model may have more training data on UK law than Spanish regulation, leading to more confident UK answers.
- Web search may skew toward more recent content, underrepresenting historical regulatory context.]</w:t>
      </w:r>
    </w:p>
    <w:p>
      <w:pPr>
        <w:spacing w:after="100"/>
      </w:pPr>
    </w:p>
    <w:p>
      <w:pPr>
        <w:pStyle w:val="Heading1"/>
      </w:pPr>
      <w:r>
        <w:t xml:space="preserve">7. Evaluation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[Describe how you test and measure quality. Example:
- 16 curated test queries across quick, medium, and complex scenarios.
- AI-powered quality grading (relevance, completeness, groundedness).
- Target: 80% pass rate overall.
- Re-run after every significant change.]</w:t>
      </w:r>
    </w:p>
    <w:p>
      <w:pPr>
        <w:spacing w:after="100"/>
      </w:pPr>
    </w:p>
    <w:p>
      <w:pPr>
        <w:pStyle w:val="Heading1"/>
      </w:pPr>
      <w:r>
        <w:t xml:space="preserve">8. Governance and Maintenance</w:t>
      </w:r>
    </w:p>
    <w:p>
      <w:pPr>
        <w:spacing w:after="140" w:line="276"/>
      </w:pPr>
      <w:r>
        <w:rPr>
          <w:rFonts w:ascii="Georgia" w:cs="Georgia" w:eastAsia="Georgia" w:hAnsi="Georgia"/>
          <w:i/>
          <w:iCs/>
          <w:color w:val="A0937D"/>
          <w:sz w:val="21"/>
          <w:szCs w:val="21"/>
        </w:rPr>
        <w:t xml:space="preserve">[Describe your review cadence and update process. Example:
- Monthly review of analytics and feedback.
- Document library updated when source documents are revised.
- Evaluation re-run after instruction or knowledge source changes.
- Model reviewed when newer GA options become available.]</w:t>
      </w:r>
    </w:p>
    <w:p>
      <w:pPr>
        <w:spacing w:after="100"/>
      </w:pPr>
    </w:p>
    <w:p>
      <w:pPr>
        <w:pStyle w:val="Heading1"/>
      </w:pPr>
      <w:r>
        <w:t xml:space="preserve">9. 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226"/>
        <w:gridCol w:w="1500"/>
      </w:tblGrid>
      <w:tr>
        <w:trPr>
          <w:tblHeader/>
        </w:trP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6C8C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6C8C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6C8C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6C8C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>[1.0]</w:t>
            </w:r>
          </w:p>
        </w:tc>
        <w:tc>
          <w:tcPr>
            <w:tcW w:type="dxa" w:w="1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>[Date]</w:t>
            </w:r>
          </w:p>
        </w:tc>
        <w:tc>
          <w:tcPr>
            <w:tcW w:type="dxa" w:w="42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>[Initial release. Describe key configuration.]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Georgia" w:cs="Georgia" w:eastAsia="Georgia" w:hAnsi="Georgia"/>
                <w:color w:val="2D3436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top w:val="single" w:color="6C8C7C" w:sz="2" w:space="8"/>
        </w:pBdr>
        <w:spacing w:before="300"/>
        <w:jc w:val="center"/>
      </w:pPr>
      <w:r>
        <w:rPr>
          <w:rFonts w:ascii="Georgia" w:cs="Georgia" w:eastAsia="Georgia" w:hAnsi="Georgia"/>
          <w:i/>
          <w:iCs/>
          <w:color w:val="7F8C8D"/>
          <w:sz w:val="18"/>
          <w:szCs w:val="18"/>
        </w:rPr>
        <w:t xml:space="preserve">Delete all italic placeholder text before finalising.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F8C8D"/>
        <w:sz w:val="16"/>
        <w:szCs w:val="16"/>
      </w:rPr>
      <w:t xml:space="preserve">Page </w:t>
    </w:r>
    <w:r>
      <w:rPr>
        <w:rFonts w:ascii="Georgia" w:cs="Georgia" w:eastAsia="Georgia" w:hAnsi="Georgia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7F8C8D"/>
        <w:sz w:val="16"/>
        <w:szCs w:val="16"/>
      </w:rPr>
      <w:t xml:space="preserve">Agent Card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34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Georgia" w:cs="Georgia" w:eastAsia="Georgia" w:hAnsi="Georgia"/>
      <w:b/>
      <w:bCs/>
      <w:color w:val="2D343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Georgia" w:cs="Georgia" w:eastAsia="Georgia" w:hAnsi="Georgia"/>
      <w:b/>
      <w:bCs/>
      <w:color w:val="6C8C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2026-03-05T21:06:02.975Z</dcterms:created>
  <dcterms:modified xsi:type="dcterms:W3CDTF">2026-03-05T21:06:02.975Z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