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F3D"/>
          <w:sz w:val="32"/>
        </w:rPr>
        <w:t>BÁO CÁO THỰC TRẠNG CHẤT LƯỢNG NỘI KIỂM TRƯỚC KHI ÁP DỤNG ĐỀ TÀI</w:t>
      </w:r>
    </w:p>
    <w:p>
      <w:pPr>
        <w:jc w:val="center"/>
      </w:pPr>
      <w:r>
        <w:rPr>
          <w:rFonts w:ascii="Times New Roman" w:hAnsi="Times New Roman"/>
          <w:i/>
          <w:color w:val="475569"/>
          <w:sz w:val="24"/>
        </w:rPr>
        <w:t>BẢNG 01: ĐÁNH GIÁ CHẤT LƯỢNG NỘI KIỂM THEO ĐỘ LỆCH CHUẨN (SD) CỦA NHÀ SẢN XUẤT</w:t>
        <w:br/>
        <w:t>(Đối tượng nghiên cứu: Glucose, Urease/Ure và Creatinin)</w:t>
      </w:r>
    </w:p>
    <w:p/>
    <w:tbl>
      <w:tblPr>
        <w:tblW w:type="auto" w:w="0"/>
        <w:jc w:val="center"/>
        <w:tblLayout w:type="fixed"/>
        <w:tblLook w:firstColumn="1" w:firstRow="1" w:lastColumn="0" w:lastRow="0" w:noHBand="0" w:noVBand="1" w:val="04A0"/>
        <w:tblBorders>
          <w:top w:val="single" w:sz="4" w:space="0" w:color="CBD5E1"/>
          <w:bottom w:val="single" w:sz="6" w:space="0" w:color="1E3A8A"/>
          <w:insideH w:val="single" w:sz="4" w:space="0" w:color="E2E8F0"/>
          <w:insideV w:val="none"/>
          <w:left w:val="none"/>
          <w:right w:val="none"/>
        </w:tblBorders>
      </w:tblPr>
      <w:tblGrid>
        <w:gridCol w:w="1244"/>
        <w:gridCol w:w="1244"/>
        <w:gridCol w:w="1244"/>
        <w:gridCol w:w="1244"/>
        <w:gridCol w:w="1244"/>
        <w:gridCol w:w="1244"/>
        <w:gridCol w:w="1244"/>
        <w:gridCol w:w="1244"/>
        <w:gridCol w:w="1244"/>
        <w:gridCol w:w="1244"/>
        <w:gridCol w:w="1244"/>
      </w:tblGrid>
      <w:tr>
        <w:tc>
          <w:tcPr>
            <w:tcW w:type="dxa" w:w="1244"/>
            <w:shd w:fill="1E3A8A"/>
            <w:tcMar>
              <w:top w:w="140" w:type="dxa"/>
              <w:bottom w:w="140" w:type="dxa"/>
              <w:left w:w="100" w:type="dxa"/>
              <w:right w:w="100" w:type="dxa"/>
            </w:tcMar>
          </w:tcPr>
          <w:p>
            <w:pPr>
              <w:jc w:val="center"/>
            </w:pPr>
            <w:r>
              <w:rPr>
                <w:rFonts w:ascii="Times New Roman" w:hAnsi="Times New Roman"/>
                <w:b/>
                <w:color w:val="FFFFFF"/>
                <w:sz w:val="20"/>
              </w:rPr>
              <w:t>Thông số xét nghiệm</w:t>
            </w:r>
          </w:p>
        </w:tc>
        <w:tc>
          <w:tcPr>
            <w:tcW w:type="dxa" w:w="1244"/>
            <w:shd w:fill="1E3A8A"/>
            <w:tcMar>
              <w:top w:w="140" w:type="dxa"/>
              <w:bottom w:w="140" w:type="dxa"/>
              <w:left w:w="100" w:type="dxa"/>
              <w:right w:w="100" w:type="dxa"/>
            </w:tcMar>
          </w:tcPr>
          <w:p>
            <w:pPr>
              <w:jc w:val="center"/>
            </w:pPr>
            <w:r>
              <w:rPr>
                <w:rFonts w:ascii="Times New Roman" w:hAnsi="Times New Roman"/>
                <w:b/>
                <w:color w:val="FFFFFF"/>
                <w:sz w:val="20"/>
              </w:rPr>
              <w:t>Mức QC</w:t>
            </w:r>
          </w:p>
        </w:tc>
        <w:tc>
          <w:tcPr>
            <w:tcW w:type="dxa" w:w="1244"/>
            <w:shd w:fill="1E3A8A"/>
            <w:tcMar>
              <w:top w:w="140" w:type="dxa"/>
              <w:bottom w:w="140" w:type="dxa"/>
              <w:left w:w="100" w:type="dxa"/>
              <w:right w:w="100" w:type="dxa"/>
            </w:tcMar>
          </w:tcPr>
          <w:p>
            <w:pPr>
              <w:jc w:val="center"/>
            </w:pPr>
            <w:r>
              <w:rPr>
                <w:rFonts w:ascii="Times New Roman" w:hAnsi="Times New Roman"/>
                <w:b/>
                <w:color w:val="FFFFFF"/>
                <w:sz w:val="20"/>
              </w:rPr>
              <w:t>Mean đích</w:t>
            </w:r>
          </w:p>
        </w:tc>
        <w:tc>
          <w:tcPr>
            <w:tcW w:type="dxa" w:w="1244"/>
            <w:shd w:fill="1E3A8A"/>
            <w:tcMar>
              <w:top w:w="140" w:type="dxa"/>
              <w:bottom w:w="140" w:type="dxa"/>
              <w:left w:w="100" w:type="dxa"/>
              <w:right w:w="100" w:type="dxa"/>
            </w:tcMar>
          </w:tcPr>
          <w:p>
            <w:pPr>
              <w:jc w:val="center"/>
            </w:pPr>
            <w:r>
              <w:rPr>
                <w:rFonts w:ascii="Times New Roman" w:hAnsi="Times New Roman"/>
                <w:b/>
                <w:color w:val="FFFFFF"/>
                <w:sz w:val="20"/>
              </w:rPr>
              <w:t>SD cũ (Hãng)</w:t>
            </w:r>
          </w:p>
        </w:tc>
        <w:tc>
          <w:tcPr>
            <w:tcW w:type="dxa" w:w="1244"/>
            <w:shd w:fill="1E3A8A"/>
            <w:tcMar>
              <w:top w:w="140" w:type="dxa"/>
              <w:bottom w:w="140" w:type="dxa"/>
              <w:left w:w="100" w:type="dxa"/>
              <w:right w:w="100" w:type="dxa"/>
            </w:tcMar>
          </w:tcPr>
          <w:p>
            <w:pPr>
              <w:jc w:val="center"/>
            </w:pPr>
            <w:r>
              <w:rPr>
                <w:rFonts w:ascii="Times New Roman" w:hAnsi="Times New Roman"/>
                <w:b/>
                <w:color w:val="FFFFFF"/>
                <w:sz w:val="20"/>
              </w:rPr>
              <w:t>CV% cũ</w:t>
            </w:r>
          </w:p>
        </w:tc>
        <w:tc>
          <w:tcPr>
            <w:tcW w:type="dxa" w:w="1244"/>
            <w:shd w:fill="1E3A8A"/>
            <w:tcMar>
              <w:top w:w="140" w:type="dxa"/>
              <w:bottom w:w="140" w:type="dxa"/>
              <w:left w:w="100" w:type="dxa"/>
              <w:right w:w="100" w:type="dxa"/>
            </w:tcMar>
          </w:tcPr>
          <w:p>
            <w:pPr>
              <w:jc w:val="center"/>
            </w:pPr>
            <w:r>
              <w:rPr>
                <w:rFonts w:ascii="Times New Roman" w:hAnsi="Times New Roman"/>
                <w:b/>
                <w:color w:val="FFFFFF"/>
                <w:sz w:val="20"/>
              </w:rPr>
              <w:t>Độ chệch Bias%</w:t>
            </w:r>
          </w:p>
        </w:tc>
        <w:tc>
          <w:tcPr>
            <w:tcW w:type="dxa" w:w="1244"/>
            <w:shd w:fill="1E3A8A"/>
            <w:tcMar>
              <w:top w:w="140" w:type="dxa"/>
              <w:bottom w:w="140" w:type="dxa"/>
              <w:left w:w="100" w:type="dxa"/>
              <w:right w:w="100" w:type="dxa"/>
            </w:tcMar>
          </w:tcPr>
          <w:p>
            <w:pPr>
              <w:jc w:val="center"/>
            </w:pPr>
            <w:r>
              <w:rPr>
                <w:rFonts w:ascii="Times New Roman" w:hAnsi="Times New Roman"/>
                <w:b/>
                <w:color w:val="FFFFFF"/>
                <w:sz w:val="20"/>
              </w:rPr>
              <w:t>TE thực tế cũ</w:t>
            </w:r>
          </w:p>
        </w:tc>
        <w:tc>
          <w:tcPr>
            <w:tcW w:type="dxa" w:w="1244"/>
            <w:shd w:fill="1E3A8A"/>
            <w:tcMar>
              <w:top w:w="140" w:type="dxa"/>
              <w:bottom w:w="140" w:type="dxa"/>
              <w:left w:w="100" w:type="dxa"/>
              <w:right w:w="100" w:type="dxa"/>
            </w:tcMar>
          </w:tcPr>
          <w:p>
            <w:pPr>
              <w:jc w:val="center"/>
            </w:pPr>
            <w:r>
              <w:rPr>
                <w:rFonts w:ascii="Times New Roman" w:hAnsi="Times New Roman"/>
                <w:b/>
                <w:color w:val="FFFFFF"/>
                <w:sz w:val="20"/>
              </w:rPr>
              <w:t>Ngưỡng TEa</w:t>
            </w:r>
          </w:p>
        </w:tc>
        <w:tc>
          <w:tcPr>
            <w:tcW w:type="dxa" w:w="1244"/>
            <w:shd w:fill="1E3A8A"/>
            <w:tcMar>
              <w:top w:w="140" w:type="dxa"/>
              <w:bottom w:w="140" w:type="dxa"/>
              <w:left w:w="100" w:type="dxa"/>
              <w:right w:w="100" w:type="dxa"/>
            </w:tcMar>
          </w:tcPr>
          <w:p>
            <w:pPr>
              <w:jc w:val="center"/>
            </w:pPr>
            <w:r>
              <w:rPr>
                <w:rFonts w:ascii="Times New Roman" w:hAnsi="Times New Roman"/>
                <w:b/>
                <w:color w:val="FFFFFF"/>
                <w:sz w:val="20"/>
              </w:rPr>
              <w:t>Kết luận TEa</w:t>
            </w:r>
          </w:p>
        </w:tc>
        <w:tc>
          <w:tcPr>
            <w:tcW w:type="dxa" w:w="1244"/>
            <w:shd w:fill="1E3A8A"/>
            <w:tcMar>
              <w:top w:w="140" w:type="dxa"/>
              <w:bottom w:w="140" w:type="dxa"/>
              <w:left w:w="100" w:type="dxa"/>
              <w:right w:w="100" w:type="dxa"/>
            </w:tcMar>
          </w:tcPr>
          <w:p>
            <w:pPr>
              <w:jc w:val="center"/>
            </w:pPr>
            <w:r>
              <w:rPr>
                <w:rFonts w:ascii="Times New Roman" w:hAnsi="Times New Roman"/>
                <w:b/>
                <w:color w:val="FFFFFF"/>
                <w:sz w:val="20"/>
              </w:rPr>
              <w:t>Six Sigma (σ)</w:t>
            </w:r>
          </w:p>
        </w:tc>
        <w:tc>
          <w:tcPr>
            <w:tcW w:type="dxa" w:w="1244"/>
            <w:shd w:fill="1E3A8A"/>
            <w:tcMar>
              <w:top w:w="140" w:type="dxa"/>
              <w:bottom w:w="140" w:type="dxa"/>
              <w:left w:w="100" w:type="dxa"/>
              <w:right w:w="100" w:type="dxa"/>
            </w:tcMar>
          </w:tcPr>
          <w:p>
            <w:pPr>
              <w:jc w:val="center"/>
            </w:pPr>
            <w:r>
              <w:rPr>
                <w:rFonts w:ascii="Times New Roman" w:hAnsi="Times New Roman"/>
                <w:b/>
                <w:color w:val="FFFFFF"/>
                <w:sz w:val="20"/>
              </w:rPr>
              <w:t>Đánh giá Six Sigma</w:t>
            </w:r>
          </w:p>
        </w:tc>
      </w:tr>
      <w:tr>
        <w:tc>
          <w:tcPr>
            <w:tcW w:type="dxa" w:w="1244"/>
            <w:vMerge w:val="restart"/>
            <w:shd w:fill="FFFFFF"/>
            <w:tcMar>
              <w:top w:w="100" w:type="dxa"/>
              <w:bottom w:w="100" w:type="dxa"/>
              <w:left w:w="100" w:type="dxa"/>
              <w:right w:w="100" w:type="dxa"/>
            </w:tcMar>
            <w:vAlign w:val="center"/>
          </w:tcPr>
          <w:p>
            <w:pPr>
              <w:jc w:val="left"/>
            </w:pPr>
            <w:r>
              <w:rPr>
                <w:rFonts w:ascii="Times New Roman" w:hAnsi="Times New Roman"/>
                <w:b/>
                <w:sz w:val="20"/>
              </w:rPr>
              <w:t>Glucose</w:t>
            </w:r>
          </w:p>
          <w:p>
            <w:pPr>
              <w:jc w:val="left"/>
            </w:pPr>
            <w:r>
              <w:rPr>
                <w:rFonts w:ascii="Times New Roman" w:hAnsi="Times New Roman"/>
                <w:b/>
                <w:sz w:val="20"/>
              </w:rPr>
              <w:t>Glucose</w:t>
            </w:r>
          </w:p>
        </w:tc>
        <w:tc>
          <w:tcPr>
            <w:tcW w:type="dxa" w:w="1244"/>
            <w:shd w:fill="FFFFFF"/>
            <w:tcMar>
              <w:top w:w="100" w:type="dxa"/>
              <w:bottom w:w="100" w:type="dxa"/>
              <w:left w:w="100" w:type="dxa"/>
              <w:right w:w="100" w:type="dxa"/>
            </w:tcMar>
          </w:tcPr>
          <w:p>
            <w:pPr>
              <w:jc w:val="center"/>
            </w:pPr>
            <w:r>
              <w:rPr>
                <w:rFonts w:ascii="Times New Roman" w:hAnsi="Times New Roman"/>
                <w:sz w:val="20"/>
              </w:rPr>
              <w:t>Normal</w:t>
            </w:r>
          </w:p>
        </w:tc>
        <w:tc>
          <w:tcPr>
            <w:tcW w:type="dxa" w:w="1244"/>
            <w:shd w:fill="FFFFFF"/>
            <w:tcMar>
              <w:top w:w="100" w:type="dxa"/>
              <w:bottom w:w="100" w:type="dxa"/>
              <w:left w:w="100" w:type="dxa"/>
              <w:right w:w="100" w:type="dxa"/>
            </w:tcMar>
          </w:tcPr>
          <w:p>
            <w:pPr>
              <w:jc w:val="center"/>
            </w:pPr>
            <w:r>
              <w:rPr>
                <w:rFonts w:ascii="Times New Roman" w:hAnsi="Times New Roman"/>
                <w:sz w:val="20"/>
              </w:rPr>
              <w:t>5.51 mmol/L</w:t>
            </w:r>
          </w:p>
        </w:tc>
        <w:tc>
          <w:tcPr>
            <w:tcW w:type="dxa" w:w="1244"/>
            <w:shd w:fill="FFFFFF"/>
            <w:tcMar>
              <w:top w:w="100" w:type="dxa"/>
              <w:bottom w:w="100" w:type="dxa"/>
              <w:left w:w="100" w:type="dxa"/>
              <w:right w:w="100" w:type="dxa"/>
            </w:tcMar>
          </w:tcPr>
          <w:p>
            <w:pPr>
              <w:jc w:val="center"/>
            </w:pPr>
            <w:r>
              <w:rPr>
                <w:rFonts w:ascii="Times New Roman" w:hAnsi="Times New Roman"/>
                <w:sz w:val="20"/>
              </w:rPr>
              <w:t>0.41</w:t>
            </w:r>
          </w:p>
        </w:tc>
        <w:tc>
          <w:tcPr>
            <w:tcW w:type="dxa" w:w="1244"/>
            <w:shd w:fill="FFFFFF"/>
            <w:tcMar>
              <w:top w:w="100" w:type="dxa"/>
              <w:bottom w:w="100" w:type="dxa"/>
              <w:left w:w="100" w:type="dxa"/>
              <w:right w:w="100" w:type="dxa"/>
            </w:tcMar>
          </w:tcPr>
          <w:p>
            <w:pPr>
              <w:jc w:val="center"/>
            </w:pPr>
            <w:r>
              <w:rPr>
                <w:rFonts w:ascii="Times New Roman" w:hAnsi="Times New Roman"/>
                <w:sz w:val="20"/>
              </w:rPr>
              <w:t>7.44%</w:t>
            </w:r>
          </w:p>
        </w:tc>
        <w:tc>
          <w:tcPr>
            <w:tcW w:type="dxa" w:w="1244"/>
            <w:shd w:fill="FFFFFF"/>
            <w:tcMar>
              <w:top w:w="100" w:type="dxa"/>
              <w:bottom w:w="100" w:type="dxa"/>
              <w:left w:w="100" w:type="dxa"/>
              <w:right w:w="100" w:type="dxa"/>
            </w:tcMar>
          </w:tcPr>
          <w:p>
            <w:pPr>
              <w:jc w:val="center"/>
            </w:pPr>
            <w:r>
              <w:rPr>
                <w:rFonts w:ascii="Times New Roman" w:hAnsi="Times New Roman"/>
                <w:sz w:val="20"/>
              </w:rPr>
              <w:t>2.33%</w:t>
            </w:r>
          </w:p>
        </w:tc>
        <w:tc>
          <w:tcPr>
            <w:tcW w:type="dxa" w:w="1244"/>
            <w:shd w:fill="FFFFFF"/>
            <w:tcMar>
              <w:top w:w="100" w:type="dxa"/>
              <w:bottom w:w="100" w:type="dxa"/>
              <w:left w:w="100" w:type="dxa"/>
              <w:right w:w="100" w:type="dxa"/>
            </w:tcMar>
          </w:tcPr>
          <w:p>
            <w:pPr>
              <w:jc w:val="center"/>
            </w:pPr>
            <w:r>
              <w:rPr>
                <w:rFonts w:ascii="Times New Roman" w:hAnsi="Times New Roman"/>
                <w:b/>
                <w:color w:val="B91C1C"/>
                <w:sz w:val="20"/>
              </w:rPr>
              <w:t>14.61%</w:t>
            </w:r>
          </w:p>
        </w:tc>
        <w:tc>
          <w:tcPr>
            <w:tcW w:type="dxa" w:w="1244"/>
            <w:shd w:fill="FFFFFF"/>
            <w:tcMar>
              <w:top w:w="100" w:type="dxa"/>
              <w:bottom w:w="100" w:type="dxa"/>
              <w:left w:w="100" w:type="dxa"/>
              <w:right w:w="100" w:type="dxa"/>
            </w:tcMar>
          </w:tcPr>
          <w:p>
            <w:pPr>
              <w:jc w:val="center"/>
            </w:pPr>
            <w:r>
              <w:rPr>
                <w:rFonts w:ascii="Times New Roman" w:hAnsi="Times New Roman"/>
                <w:sz w:val="20"/>
              </w:rPr>
              <w:t>8.0%</w:t>
            </w:r>
          </w:p>
        </w:tc>
        <w:tc>
          <w:tcPr>
            <w:tcW w:type="dxa" w:w="1244"/>
            <w:shd w:fill="FFFFFF"/>
            <w:tcMar>
              <w:top w:w="100" w:type="dxa"/>
              <w:bottom w:w="100" w:type="dxa"/>
              <w:left w:w="100" w:type="dxa"/>
              <w:right w:w="100" w:type="dxa"/>
            </w:tcMar>
          </w:tcPr>
          <w:p>
            <w:pPr>
              <w:jc w:val="center"/>
            </w:pPr>
            <w:r>
              <w:rPr>
                <w:rFonts w:ascii="Times New Roman" w:hAnsi="Times New Roman"/>
                <w:b/>
                <w:color w:val="B91C1C"/>
                <w:sz w:val="20"/>
              </w:rPr>
              <w:t>Không đạt (&gt; TEa)</w:t>
            </w:r>
          </w:p>
        </w:tc>
        <w:tc>
          <w:tcPr>
            <w:tcW w:type="dxa" w:w="1244"/>
            <w:shd w:fill="FFFFFF"/>
            <w:tcMar>
              <w:top w:w="100" w:type="dxa"/>
              <w:bottom w:w="100" w:type="dxa"/>
              <w:left w:w="100" w:type="dxa"/>
              <w:right w:w="100" w:type="dxa"/>
            </w:tcMar>
          </w:tcPr>
          <w:p>
            <w:pPr>
              <w:jc w:val="center"/>
            </w:pPr>
            <w:r>
              <w:rPr>
                <w:rFonts w:ascii="Times New Roman" w:hAnsi="Times New Roman"/>
                <w:b/>
                <w:color w:val="B91C1C"/>
                <w:sz w:val="20"/>
              </w:rPr>
              <w:t>0.76σ</w:t>
            </w:r>
          </w:p>
        </w:tc>
        <w:tc>
          <w:tcPr>
            <w:tcW w:type="dxa" w:w="1244"/>
            <w:shd w:fill="FFFFFF"/>
            <w:tcMar>
              <w:top w:w="100" w:type="dxa"/>
              <w:bottom w:w="100" w:type="dxa"/>
              <w:left w:w="100" w:type="dxa"/>
              <w:right w:w="100" w:type="dxa"/>
            </w:tcMar>
          </w:tcPr>
          <w:p>
            <w:pPr>
              <w:jc w:val="center"/>
            </w:pPr>
            <w:r>
              <w:rPr>
                <w:rFonts w:ascii="Times New Roman" w:hAnsi="Times New Roman"/>
                <w:b/>
                <w:color w:val="B91C1C"/>
                <w:sz w:val="20"/>
              </w:rPr>
              <w:t>Không chấp nhận (&lt; 2σ)</w:t>
            </w:r>
          </w:p>
        </w:tc>
      </w:tr>
      <w:tr>
        <w:tc>
          <w:tcPr>
            <w:tcW w:type="dxa" w:w="1244"/>
            <w:vMerge/>
            <w:shd w:fill="F8FAFC"/>
            <w:tcMar>
              <w:top w:w="100" w:type="dxa"/>
              <w:bottom w:w="100" w:type="dxa"/>
              <w:left w:w="100" w:type="dxa"/>
              <w:right w:w="100" w:type="dxa"/>
            </w:tcMar>
          </w:tcPr>
          <w:p/>
        </w:tc>
        <w:tc>
          <w:tcPr>
            <w:tcW w:type="dxa" w:w="1244"/>
            <w:shd w:fill="F8FAFC"/>
            <w:tcMar>
              <w:top w:w="100" w:type="dxa"/>
              <w:bottom w:w="100" w:type="dxa"/>
              <w:left w:w="100" w:type="dxa"/>
              <w:right w:w="100" w:type="dxa"/>
            </w:tcMar>
          </w:tcPr>
          <w:p>
            <w:pPr>
              <w:jc w:val="center"/>
            </w:pPr>
            <w:r>
              <w:rPr>
                <w:rFonts w:ascii="Times New Roman" w:hAnsi="Times New Roman"/>
                <w:sz w:val="20"/>
              </w:rPr>
              <w:t>High</w:t>
            </w:r>
          </w:p>
        </w:tc>
        <w:tc>
          <w:tcPr>
            <w:tcW w:type="dxa" w:w="1244"/>
            <w:shd w:fill="F8FAFC"/>
            <w:tcMar>
              <w:top w:w="100" w:type="dxa"/>
              <w:bottom w:w="100" w:type="dxa"/>
              <w:left w:w="100" w:type="dxa"/>
              <w:right w:w="100" w:type="dxa"/>
            </w:tcMar>
          </w:tcPr>
          <w:p>
            <w:pPr>
              <w:jc w:val="center"/>
            </w:pPr>
            <w:r>
              <w:rPr>
                <w:rFonts w:ascii="Times New Roman" w:hAnsi="Times New Roman"/>
                <w:sz w:val="20"/>
              </w:rPr>
              <w:t>17.50 mmol/L</w:t>
            </w:r>
          </w:p>
        </w:tc>
        <w:tc>
          <w:tcPr>
            <w:tcW w:type="dxa" w:w="1244"/>
            <w:shd w:fill="F8FAFC"/>
            <w:tcMar>
              <w:top w:w="100" w:type="dxa"/>
              <w:bottom w:w="100" w:type="dxa"/>
              <w:left w:w="100" w:type="dxa"/>
              <w:right w:w="100" w:type="dxa"/>
            </w:tcMar>
          </w:tcPr>
          <w:p>
            <w:pPr>
              <w:jc w:val="center"/>
            </w:pPr>
            <w:r>
              <w:rPr>
                <w:rFonts w:ascii="Times New Roman" w:hAnsi="Times New Roman"/>
                <w:sz w:val="20"/>
              </w:rPr>
              <w:t>0.93</w:t>
            </w:r>
          </w:p>
        </w:tc>
        <w:tc>
          <w:tcPr>
            <w:tcW w:type="dxa" w:w="1244"/>
            <w:shd w:fill="F8FAFC"/>
            <w:tcMar>
              <w:top w:w="100" w:type="dxa"/>
              <w:bottom w:w="100" w:type="dxa"/>
              <w:left w:w="100" w:type="dxa"/>
              <w:right w:w="100" w:type="dxa"/>
            </w:tcMar>
          </w:tcPr>
          <w:p>
            <w:pPr>
              <w:jc w:val="center"/>
            </w:pPr>
            <w:r>
              <w:rPr>
                <w:rFonts w:ascii="Times New Roman" w:hAnsi="Times New Roman"/>
                <w:sz w:val="20"/>
              </w:rPr>
              <w:t>5.31%</w:t>
            </w:r>
          </w:p>
        </w:tc>
        <w:tc>
          <w:tcPr>
            <w:tcW w:type="dxa" w:w="1244"/>
            <w:shd w:fill="F8FAFC"/>
            <w:tcMar>
              <w:top w:w="100" w:type="dxa"/>
              <w:bottom w:w="100" w:type="dxa"/>
              <w:left w:w="100" w:type="dxa"/>
              <w:right w:w="100" w:type="dxa"/>
            </w:tcMar>
          </w:tcPr>
          <w:p>
            <w:pPr>
              <w:jc w:val="center"/>
            </w:pPr>
            <w:r>
              <w:rPr>
                <w:rFonts w:ascii="Times New Roman" w:hAnsi="Times New Roman"/>
                <w:sz w:val="20"/>
              </w:rPr>
              <w:t>1.71%</w:t>
            </w:r>
          </w:p>
        </w:tc>
        <w:tc>
          <w:tcPr>
            <w:tcW w:type="dxa" w:w="1244"/>
            <w:shd w:fill="F8FAFC"/>
            <w:tcMar>
              <w:top w:w="100" w:type="dxa"/>
              <w:bottom w:w="100" w:type="dxa"/>
              <w:left w:w="100" w:type="dxa"/>
              <w:right w:w="100" w:type="dxa"/>
            </w:tcMar>
          </w:tcPr>
          <w:p>
            <w:pPr>
              <w:jc w:val="center"/>
            </w:pPr>
            <w:r>
              <w:rPr>
                <w:rFonts w:ascii="Times New Roman" w:hAnsi="Times New Roman"/>
                <w:b/>
                <w:color w:val="B91C1C"/>
                <w:sz w:val="20"/>
              </w:rPr>
              <w:t>10.47%</w:t>
            </w:r>
          </w:p>
        </w:tc>
        <w:tc>
          <w:tcPr>
            <w:tcW w:type="dxa" w:w="1244"/>
            <w:shd w:fill="F8FAFC"/>
            <w:tcMar>
              <w:top w:w="100" w:type="dxa"/>
              <w:bottom w:w="100" w:type="dxa"/>
              <w:left w:w="100" w:type="dxa"/>
              <w:right w:w="100" w:type="dxa"/>
            </w:tcMar>
          </w:tcPr>
          <w:p>
            <w:pPr>
              <w:jc w:val="center"/>
            </w:pPr>
            <w:r>
              <w:rPr>
                <w:rFonts w:ascii="Times New Roman" w:hAnsi="Times New Roman"/>
                <w:sz w:val="20"/>
              </w:rPr>
              <w:t>8.0%</w:t>
            </w:r>
          </w:p>
        </w:tc>
        <w:tc>
          <w:tcPr>
            <w:tcW w:type="dxa" w:w="1244"/>
            <w:shd w:fill="F8FAFC"/>
            <w:tcMar>
              <w:top w:w="100" w:type="dxa"/>
              <w:bottom w:w="100" w:type="dxa"/>
              <w:left w:w="100" w:type="dxa"/>
              <w:right w:w="100" w:type="dxa"/>
            </w:tcMar>
          </w:tcPr>
          <w:p>
            <w:pPr>
              <w:jc w:val="center"/>
            </w:pPr>
            <w:r>
              <w:rPr>
                <w:rFonts w:ascii="Times New Roman" w:hAnsi="Times New Roman"/>
                <w:b/>
                <w:color w:val="B91C1C"/>
                <w:sz w:val="20"/>
              </w:rPr>
              <w:t>Không đạt (&gt; TEa)</w:t>
            </w:r>
          </w:p>
        </w:tc>
        <w:tc>
          <w:tcPr>
            <w:tcW w:type="dxa" w:w="1244"/>
            <w:shd w:fill="F8FAFC"/>
            <w:tcMar>
              <w:top w:w="100" w:type="dxa"/>
              <w:bottom w:w="100" w:type="dxa"/>
              <w:left w:w="100" w:type="dxa"/>
              <w:right w:w="100" w:type="dxa"/>
            </w:tcMar>
          </w:tcPr>
          <w:p>
            <w:pPr>
              <w:jc w:val="center"/>
            </w:pPr>
            <w:r>
              <w:rPr>
                <w:rFonts w:ascii="Times New Roman" w:hAnsi="Times New Roman"/>
                <w:b/>
                <w:color w:val="B91C1C"/>
                <w:sz w:val="20"/>
              </w:rPr>
              <w:t>1.18σ</w:t>
            </w:r>
          </w:p>
        </w:tc>
        <w:tc>
          <w:tcPr>
            <w:tcW w:type="dxa" w:w="1244"/>
            <w:shd w:fill="F8FAFC"/>
            <w:tcMar>
              <w:top w:w="100" w:type="dxa"/>
              <w:bottom w:w="100" w:type="dxa"/>
              <w:left w:w="100" w:type="dxa"/>
              <w:right w:w="100" w:type="dxa"/>
            </w:tcMar>
          </w:tcPr>
          <w:p>
            <w:pPr>
              <w:jc w:val="center"/>
            </w:pPr>
            <w:r>
              <w:rPr>
                <w:rFonts w:ascii="Times New Roman" w:hAnsi="Times New Roman"/>
                <w:b/>
                <w:color w:val="B91C1C"/>
                <w:sz w:val="20"/>
              </w:rPr>
              <w:t>Không chấp nhận (&lt; 2σ)</w:t>
            </w:r>
          </w:p>
        </w:tc>
      </w:tr>
      <w:tr>
        <w:tc>
          <w:tcPr>
            <w:tcW w:type="dxa" w:w="1244"/>
            <w:vMerge w:val="restart"/>
            <w:shd w:fill="FFFFFF"/>
            <w:tcMar>
              <w:top w:w="100" w:type="dxa"/>
              <w:bottom w:w="100" w:type="dxa"/>
              <w:left w:w="100" w:type="dxa"/>
              <w:right w:w="100" w:type="dxa"/>
            </w:tcMar>
            <w:vAlign w:val="center"/>
          </w:tcPr>
          <w:p>
            <w:pPr>
              <w:jc w:val="left"/>
            </w:pPr>
            <w:r>
              <w:rPr>
                <w:rFonts w:ascii="Times New Roman" w:hAnsi="Times New Roman"/>
                <w:b/>
                <w:sz w:val="20"/>
              </w:rPr>
              <w:t>Urease (Ure)</w:t>
            </w:r>
          </w:p>
          <w:p>
            <w:pPr>
              <w:jc w:val="left"/>
            </w:pPr>
            <w:r>
              <w:rPr>
                <w:rFonts w:ascii="Times New Roman" w:hAnsi="Times New Roman"/>
                <w:b/>
                <w:sz w:val="20"/>
              </w:rPr>
              <w:t>Urease (Ure)</w:t>
            </w:r>
          </w:p>
        </w:tc>
        <w:tc>
          <w:tcPr>
            <w:tcW w:type="dxa" w:w="1244"/>
            <w:shd w:fill="FFFFFF"/>
            <w:tcMar>
              <w:top w:w="100" w:type="dxa"/>
              <w:bottom w:w="100" w:type="dxa"/>
              <w:left w:w="100" w:type="dxa"/>
              <w:right w:w="100" w:type="dxa"/>
            </w:tcMar>
          </w:tcPr>
          <w:p>
            <w:pPr>
              <w:jc w:val="center"/>
            </w:pPr>
            <w:r>
              <w:rPr>
                <w:rFonts w:ascii="Times New Roman" w:hAnsi="Times New Roman"/>
                <w:sz w:val="20"/>
              </w:rPr>
              <w:t>Normal</w:t>
            </w:r>
          </w:p>
        </w:tc>
        <w:tc>
          <w:tcPr>
            <w:tcW w:type="dxa" w:w="1244"/>
            <w:shd w:fill="FFFFFF"/>
            <w:tcMar>
              <w:top w:w="100" w:type="dxa"/>
              <w:bottom w:w="100" w:type="dxa"/>
              <w:left w:w="100" w:type="dxa"/>
              <w:right w:w="100" w:type="dxa"/>
            </w:tcMar>
          </w:tcPr>
          <w:p>
            <w:pPr>
              <w:jc w:val="center"/>
            </w:pPr>
            <w:r>
              <w:rPr>
                <w:rFonts w:ascii="Times New Roman" w:hAnsi="Times New Roman"/>
                <w:sz w:val="20"/>
              </w:rPr>
              <w:t>7.19 mmol/L</w:t>
            </w:r>
          </w:p>
        </w:tc>
        <w:tc>
          <w:tcPr>
            <w:tcW w:type="dxa" w:w="1244"/>
            <w:shd w:fill="FFFFFF"/>
            <w:tcMar>
              <w:top w:w="100" w:type="dxa"/>
              <w:bottom w:w="100" w:type="dxa"/>
              <w:left w:w="100" w:type="dxa"/>
              <w:right w:w="100" w:type="dxa"/>
            </w:tcMar>
          </w:tcPr>
          <w:p>
            <w:pPr>
              <w:jc w:val="center"/>
            </w:pPr>
            <w:r>
              <w:rPr>
                <w:rFonts w:ascii="Times New Roman" w:hAnsi="Times New Roman"/>
                <w:sz w:val="20"/>
              </w:rPr>
              <w:t>0.54</w:t>
            </w:r>
          </w:p>
        </w:tc>
        <w:tc>
          <w:tcPr>
            <w:tcW w:type="dxa" w:w="1244"/>
            <w:shd w:fill="FFFFFF"/>
            <w:tcMar>
              <w:top w:w="100" w:type="dxa"/>
              <w:bottom w:w="100" w:type="dxa"/>
              <w:left w:w="100" w:type="dxa"/>
              <w:right w:w="100" w:type="dxa"/>
            </w:tcMar>
          </w:tcPr>
          <w:p>
            <w:pPr>
              <w:jc w:val="center"/>
            </w:pPr>
            <w:r>
              <w:rPr>
                <w:rFonts w:ascii="Times New Roman" w:hAnsi="Times New Roman"/>
                <w:sz w:val="20"/>
              </w:rPr>
              <w:t>7.51%</w:t>
            </w:r>
          </w:p>
        </w:tc>
        <w:tc>
          <w:tcPr>
            <w:tcW w:type="dxa" w:w="1244"/>
            <w:shd w:fill="FFFFFF"/>
            <w:tcMar>
              <w:top w:w="100" w:type="dxa"/>
              <w:bottom w:w="100" w:type="dxa"/>
              <w:left w:w="100" w:type="dxa"/>
              <w:right w:w="100" w:type="dxa"/>
            </w:tcMar>
          </w:tcPr>
          <w:p>
            <w:pPr>
              <w:jc w:val="center"/>
            </w:pPr>
            <w:r>
              <w:rPr>
                <w:rFonts w:ascii="Times New Roman" w:hAnsi="Times New Roman"/>
                <w:sz w:val="20"/>
              </w:rPr>
              <w:t>1.50%</w:t>
            </w:r>
          </w:p>
        </w:tc>
        <w:tc>
          <w:tcPr>
            <w:tcW w:type="dxa" w:w="1244"/>
            <w:shd w:fill="FFFFFF"/>
            <w:tcMar>
              <w:top w:w="100" w:type="dxa"/>
              <w:bottom w:w="100" w:type="dxa"/>
              <w:left w:w="100" w:type="dxa"/>
              <w:right w:w="100" w:type="dxa"/>
            </w:tcMar>
          </w:tcPr>
          <w:p>
            <w:pPr>
              <w:jc w:val="center"/>
            </w:pPr>
            <w:r>
              <w:rPr>
                <w:rFonts w:ascii="Times New Roman" w:hAnsi="Times New Roman"/>
                <w:b/>
                <w:color w:val="B91C1C"/>
                <w:sz w:val="20"/>
              </w:rPr>
              <w:t>13.89%</w:t>
            </w:r>
          </w:p>
        </w:tc>
        <w:tc>
          <w:tcPr>
            <w:tcW w:type="dxa" w:w="1244"/>
            <w:shd w:fill="FFFFFF"/>
            <w:tcMar>
              <w:top w:w="100" w:type="dxa"/>
              <w:bottom w:w="100" w:type="dxa"/>
              <w:left w:w="100" w:type="dxa"/>
              <w:right w:w="100" w:type="dxa"/>
            </w:tcMar>
          </w:tcPr>
          <w:p>
            <w:pPr>
              <w:jc w:val="center"/>
            </w:pPr>
            <w:r>
              <w:rPr>
                <w:rFonts w:ascii="Times New Roman" w:hAnsi="Times New Roman"/>
                <w:sz w:val="20"/>
              </w:rPr>
              <w:t>12.0%</w:t>
            </w:r>
          </w:p>
        </w:tc>
        <w:tc>
          <w:tcPr>
            <w:tcW w:type="dxa" w:w="1244"/>
            <w:shd w:fill="FFFFFF"/>
            <w:tcMar>
              <w:top w:w="100" w:type="dxa"/>
              <w:bottom w:w="100" w:type="dxa"/>
              <w:left w:w="100" w:type="dxa"/>
              <w:right w:w="100" w:type="dxa"/>
            </w:tcMar>
          </w:tcPr>
          <w:p>
            <w:pPr>
              <w:jc w:val="center"/>
            </w:pPr>
            <w:r>
              <w:rPr>
                <w:rFonts w:ascii="Times New Roman" w:hAnsi="Times New Roman"/>
                <w:b/>
                <w:color w:val="B91C1C"/>
                <w:sz w:val="20"/>
              </w:rPr>
              <w:t>Không đạt (&gt; TEa)</w:t>
            </w:r>
          </w:p>
        </w:tc>
        <w:tc>
          <w:tcPr>
            <w:tcW w:type="dxa" w:w="1244"/>
            <w:shd w:fill="FFFFFF"/>
            <w:tcMar>
              <w:top w:w="100" w:type="dxa"/>
              <w:bottom w:w="100" w:type="dxa"/>
              <w:left w:w="100" w:type="dxa"/>
              <w:right w:w="100" w:type="dxa"/>
            </w:tcMar>
          </w:tcPr>
          <w:p>
            <w:pPr>
              <w:jc w:val="center"/>
            </w:pPr>
            <w:r>
              <w:rPr>
                <w:rFonts w:ascii="Times New Roman" w:hAnsi="Times New Roman"/>
                <w:b/>
                <w:color w:val="B91C1C"/>
                <w:sz w:val="20"/>
              </w:rPr>
              <w:t>1.40σ</w:t>
            </w:r>
          </w:p>
        </w:tc>
        <w:tc>
          <w:tcPr>
            <w:tcW w:type="dxa" w:w="1244"/>
            <w:shd w:fill="FFFFFF"/>
            <w:tcMar>
              <w:top w:w="100" w:type="dxa"/>
              <w:bottom w:w="100" w:type="dxa"/>
              <w:left w:w="100" w:type="dxa"/>
              <w:right w:w="100" w:type="dxa"/>
            </w:tcMar>
          </w:tcPr>
          <w:p>
            <w:pPr>
              <w:jc w:val="center"/>
            </w:pPr>
            <w:r>
              <w:rPr>
                <w:rFonts w:ascii="Times New Roman" w:hAnsi="Times New Roman"/>
                <w:b/>
                <w:color w:val="B91C1C"/>
                <w:sz w:val="20"/>
              </w:rPr>
              <w:t>Không chấp nhận (&lt; 2σ)</w:t>
            </w:r>
          </w:p>
        </w:tc>
      </w:tr>
      <w:tr>
        <w:tc>
          <w:tcPr>
            <w:tcW w:type="dxa" w:w="1244"/>
            <w:vMerge/>
            <w:shd w:fill="F8FAFC"/>
            <w:tcMar>
              <w:top w:w="100" w:type="dxa"/>
              <w:bottom w:w="100" w:type="dxa"/>
              <w:left w:w="100" w:type="dxa"/>
              <w:right w:w="100" w:type="dxa"/>
            </w:tcMar>
          </w:tcPr>
          <w:p/>
        </w:tc>
        <w:tc>
          <w:tcPr>
            <w:tcW w:type="dxa" w:w="1244"/>
            <w:shd w:fill="F8FAFC"/>
            <w:tcMar>
              <w:top w:w="100" w:type="dxa"/>
              <w:bottom w:w="100" w:type="dxa"/>
              <w:left w:w="100" w:type="dxa"/>
              <w:right w:w="100" w:type="dxa"/>
            </w:tcMar>
          </w:tcPr>
          <w:p>
            <w:pPr>
              <w:jc w:val="center"/>
            </w:pPr>
            <w:r>
              <w:rPr>
                <w:rFonts w:ascii="Times New Roman" w:hAnsi="Times New Roman"/>
                <w:sz w:val="20"/>
              </w:rPr>
              <w:t>High</w:t>
            </w:r>
          </w:p>
        </w:tc>
        <w:tc>
          <w:tcPr>
            <w:tcW w:type="dxa" w:w="1244"/>
            <w:shd w:fill="F8FAFC"/>
            <w:tcMar>
              <w:top w:w="100" w:type="dxa"/>
              <w:bottom w:w="100" w:type="dxa"/>
              <w:left w:w="100" w:type="dxa"/>
              <w:right w:w="100" w:type="dxa"/>
            </w:tcMar>
          </w:tcPr>
          <w:p>
            <w:pPr>
              <w:jc w:val="center"/>
            </w:pPr>
            <w:r>
              <w:rPr>
                <w:rFonts w:ascii="Times New Roman" w:hAnsi="Times New Roman"/>
                <w:sz w:val="20"/>
              </w:rPr>
              <w:t>22.66 mmol/L</w:t>
            </w:r>
          </w:p>
        </w:tc>
        <w:tc>
          <w:tcPr>
            <w:tcW w:type="dxa" w:w="1244"/>
            <w:shd w:fill="F8FAFC"/>
            <w:tcMar>
              <w:top w:w="100" w:type="dxa"/>
              <w:bottom w:w="100" w:type="dxa"/>
              <w:left w:w="100" w:type="dxa"/>
              <w:right w:w="100" w:type="dxa"/>
            </w:tcMar>
          </w:tcPr>
          <w:p>
            <w:pPr>
              <w:jc w:val="center"/>
            </w:pPr>
            <w:r>
              <w:rPr>
                <w:rFonts w:ascii="Times New Roman" w:hAnsi="Times New Roman"/>
                <w:sz w:val="20"/>
              </w:rPr>
              <w:t>1.70</w:t>
            </w:r>
          </w:p>
        </w:tc>
        <w:tc>
          <w:tcPr>
            <w:tcW w:type="dxa" w:w="1244"/>
            <w:shd w:fill="F8FAFC"/>
            <w:tcMar>
              <w:top w:w="100" w:type="dxa"/>
              <w:bottom w:w="100" w:type="dxa"/>
              <w:left w:w="100" w:type="dxa"/>
              <w:right w:w="100" w:type="dxa"/>
            </w:tcMar>
          </w:tcPr>
          <w:p>
            <w:pPr>
              <w:jc w:val="center"/>
            </w:pPr>
            <w:r>
              <w:rPr>
                <w:rFonts w:ascii="Times New Roman" w:hAnsi="Times New Roman"/>
                <w:sz w:val="20"/>
              </w:rPr>
              <w:t>7.50%</w:t>
            </w:r>
          </w:p>
        </w:tc>
        <w:tc>
          <w:tcPr>
            <w:tcW w:type="dxa" w:w="1244"/>
            <w:shd w:fill="F8FAFC"/>
            <w:tcMar>
              <w:top w:w="100" w:type="dxa"/>
              <w:bottom w:w="100" w:type="dxa"/>
              <w:left w:w="100" w:type="dxa"/>
              <w:right w:w="100" w:type="dxa"/>
            </w:tcMar>
          </w:tcPr>
          <w:p>
            <w:pPr>
              <w:jc w:val="center"/>
            </w:pPr>
            <w:r>
              <w:rPr>
                <w:rFonts w:ascii="Times New Roman" w:hAnsi="Times New Roman"/>
                <w:sz w:val="20"/>
              </w:rPr>
              <w:t>1.56%</w:t>
            </w:r>
          </w:p>
        </w:tc>
        <w:tc>
          <w:tcPr>
            <w:tcW w:type="dxa" w:w="1244"/>
            <w:shd w:fill="F8FAFC"/>
            <w:tcMar>
              <w:top w:w="100" w:type="dxa"/>
              <w:bottom w:w="100" w:type="dxa"/>
              <w:left w:w="100" w:type="dxa"/>
              <w:right w:w="100" w:type="dxa"/>
            </w:tcMar>
          </w:tcPr>
          <w:p>
            <w:pPr>
              <w:jc w:val="center"/>
            </w:pPr>
            <w:r>
              <w:rPr>
                <w:rFonts w:ascii="Times New Roman" w:hAnsi="Times New Roman"/>
                <w:b/>
                <w:color w:val="B91C1C"/>
                <w:sz w:val="20"/>
              </w:rPr>
              <w:t>13.94%</w:t>
            </w:r>
          </w:p>
        </w:tc>
        <w:tc>
          <w:tcPr>
            <w:tcW w:type="dxa" w:w="1244"/>
            <w:shd w:fill="F8FAFC"/>
            <w:tcMar>
              <w:top w:w="100" w:type="dxa"/>
              <w:bottom w:w="100" w:type="dxa"/>
              <w:left w:w="100" w:type="dxa"/>
              <w:right w:w="100" w:type="dxa"/>
            </w:tcMar>
          </w:tcPr>
          <w:p>
            <w:pPr>
              <w:jc w:val="center"/>
            </w:pPr>
            <w:r>
              <w:rPr>
                <w:rFonts w:ascii="Times New Roman" w:hAnsi="Times New Roman"/>
                <w:sz w:val="20"/>
              </w:rPr>
              <w:t>12.0%</w:t>
            </w:r>
          </w:p>
        </w:tc>
        <w:tc>
          <w:tcPr>
            <w:tcW w:type="dxa" w:w="1244"/>
            <w:shd w:fill="F8FAFC"/>
            <w:tcMar>
              <w:top w:w="100" w:type="dxa"/>
              <w:bottom w:w="100" w:type="dxa"/>
              <w:left w:w="100" w:type="dxa"/>
              <w:right w:w="100" w:type="dxa"/>
            </w:tcMar>
          </w:tcPr>
          <w:p>
            <w:pPr>
              <w:jc w:val="center"/>
            </w:pPr>
            <w:r>
              <w:rPr>
                <w:rFonts w:ascii="Times New Roman" w:hAnsi="Times New Roman"/>
                <w:b/>
                <w:color w:val="B91C1C"/>
                <w:sz w:val="20"/>
              </w:rPr>
              <w:t>Không đạt (&gt; TEa)</w:t>
            </w:r>
          </w:p>
        </w:tc>
        <w:tc>
          <w:tcPr>
            <w:tcW w:type="dxa" w:w="1244"/>
            <w:shd w:fill="F8FAFC"/>
            <w:tcMar>
              <w:top w:w="100" w:type="dxa"/>
              <w:bottom w:w="100" w:type="dxa"/>
              <w:left w:w="100" w:type="dxa"/>
              <w:right w:w="100" w:type="dxa"/>
            </w:tcMar>
          </w:tcPr>
          <w:p>
            <w:pPr>
              <w:jc w:val="center"/>
            </w:pPr>
            <w:r>
              <w:rPr>
                <w:rFonts w:ascii="Times New Roman" w:hAnsi="Times New Roman"/>
                <w:b/>
                <w:color w:val="B91C1C"/>
                <w:sz w:val="20"/>
              </w:rPr>
              <w:t>1.39σ</w:t>
            </w:r>
          </w:p>
        </w:tc>
        <w:tc>
          <w:tcPr>
            <w:tcW w:type="dxa" w:w="1244"/>
            <w:shd w:fill="F8FAFC"/>
            <w:tcMar>
              <w:top w:w="100" w:type="dxa"/>
              <w:bottom w:w="100" w:type="dxa"/>
              <w:left w:w="100" w:type="dxa"/>
              <w:right w:w="100" w:type="dxa"/>
            </w:tcMar>
          </w:tcPr>
          <w:p>
            <w:pPr>
              <w:jc w:val="center"/>
            </w:pPr>
            <w:r>
              <w:rPr>
                <w:rFonts w:ascii="Times New Roman" w:hAnsi="Times New Roman"/>
                <w:b/>
                <w:color w:val="B91C1C"/>
                <w:sz w:val="20"/>
              </w:rPr>
              <w:t>Không chấp nhận (&lt; 2σ)</w:t>
            </w:r>
          </w:p>
        </w:tc>
      </w:tr>
      <w:tr>
        <w:tc>
          <w:tcPr>
            <w:tcW w:type="dxa" w:w="1244"/>
            <w:vMerge w:val="restart"/>
            <w:shd w:fill="FFFFFF"/>
            <w:tcMar>
              <w:top w:w="100" w:type="dxa"/>
              <w:bottom w:w="100" w:type="dxa"/>
              <w:left w:w="100" w:type="dxa"/>
              <w:right w:w="100" w:type="dxa"/>
            </w:tcMar>
            <w:vAlign w:val="center"/>
          </w:tcPr>
          <w:p>
            <w:pPr>
              <w:jc w:val="left"/>
            </w:pPr>
            <w:r>
              <w:rPr>
                <w:rFonts w:ascii="Times New Roman" w:hAnsi="Times New Roman"/>
                <w:b/>
                <w:sz w:val="20"/>
              </w:rPr>
              <w:t>Creatinin</w:t>
            </w:r>
          </w:p>
          <w:p>
            <w:pPr>
              <w:jc w:val="left"/>
            </w:pPr>
            <w:r>
              <w:rPr>
                <w:rFonts w:ascii="Times New Roman" w:hAnsi="Times New Roman"/>
                <w:b/>
                <w:sz w:val="20"/>
              </w:rPr>
              <w:t>Creatinin</w:t>
            </w:r>
          </w:p>
        </w:tc>
        <w:tc>
          <w:tcPr>
            <w:tcW w:type="dxa" w:w="1244"/>
            <w:shd w:fill="FFFFFF"/>
            <w:tcMar>
              <w:top w:w="100" w:type="dxa"/>
              <w:bottom w:w="100" w:type="dxa"/>
              <w:left w:w="100" w:type="dxa"/>
              <w:right w:w="100" w:type="dxa"/>
            </w:tcMar>
          </w:tcPr>
          <w:p>
            <w:pPr>
              <w:jc w:val="center"/>
            </w:pPr>
            <w:r>
              <w:rPr>
                <w:rFonts w:ascii="Times New Roman" w:hAnsi="Times New Roman"/>
                <w:sz w:val="20"/>
              </w:rPr>
              <w:t>Normal</w:t>
            </w:r>
          </w:p>
        </w:tc>
        <w:tc>
          <w:tcPr>
            <w:tcW w:type="dxa" w:w="1244"/>
            <w:shd w:fill="FFFFFF"/>
            <w:tcMar>
              <w:top w:w="100" w:type="dxa"/>
              <w:bottom w:w="100" w:type="dxa"/>
              <w:left w:w="100" w:type="dxa"/>
              <w:right w:w="100" w:type="dxa"/>
            </w:tcMar>
          </w:tcPr>
          <w:p>
            <w:pPr>
              <w:jc w:val="center"/>
            </w:pPr>
            <w:r>
              <w:rPr>
                <w:rFonts w:ascii="Times New Roman" w:hAnsi="Times New Roman"/>
                <w:sz w:val="20"/>
              </w:rPr>
              <w:t>94.60 µmol/L</w:t>
            </w:r>
          </w:p>
        </w:tc>
        <w:tc>
          <w:tcPr>
            <w:tcW w:type="dxa" w:w="1244"/>
            <w:shd w:fill="FFFFFF"/>
            <w:tcMar>
              <w:top w:w="100" w:type="dxa"/>
              <w:bottom w:w="100" w:type="dxa"/>
              <w:left w:w="100" w:type="dxa"/>
              <w:right w:w="100" w:type="dxa"/>
            </w:tcMar>
          </w:tcPr>
          <w:p>
            <w:pPr>
              <w:jc w:val="center"/>
            </w:pPr>
            <w:r>
              <w:rPr>
                <w:rFonts w:ascii="Times New Roman" w:hAnsi="Times New Roman"/>
                <w:sz w:val="20"/>
              </w:rPr>
              <w:t>8.60</w:t>
            </w:r>
          </w:p>
        </w:tc>
        <w:tc>
          <w:tcPr>
            <w:tcW w:type="dxa" w:w="1244"/>
            <w:shd w:fill="FFFFFF"/>
            <w:tcMar>
              <w:top w:w="100" w:type="dxa"/>
              <w:bottom w:w="100" w:type="dxa"/>
              <w:left w:w="100" w:type="dxa"/>
              <w:right w:w="100" w:type="dxa"/>
            </w:tcMar>
          </w:tcPr>
          <w:p>
            <w:pPr>
              <w:jc w:val="center"/>
            </w:pPr>
            <w:r>
              <w:rPr>
                <w:rFonts w:ascii="Times New Roman" w:hAnsi="Times New Roman"/>
                <w:sz w:val="20"/>
              </w:rPr>
              <w:t>9.09%</w:t>
            </w:r>
          </w:p>
        </w:tc>
        <w:tc>
          <w:tcPr>
            <w:tcW w:type="dxa" w:w="1244"/>
            <w:shd w:fill="FFFFFF"/>
            <w:tcMar>
              <w:top w:w="100" w:type="dxa"/>
              <w:bottom w:w="100" w:type="dxa"/>
              <w:left w:w="100" w:type="dxa"/>
              <w:right w:w="100" w:type="dxa"/>
            </w:tcMar>
          </w:tcPr>
          <w:p>
            <w:pPr>
              <w:jc w:val="center"/>
            </w:pPr>
            <w:r>
              <w:rPr>
                <w:rFonts w:ascii="Times New Roman" w:hAnsi="Times New Roman"/>
                <w:sz w:val="20"/>
              </w:rPr>
              <w:t>1.50%</w:t>
            </w:r>
          </w:p>
        </w:tc>
        <w:tc>
          <w:tcPr>
            <w:tcW w:type="dxa" w:w="1244"/>
            <w:shd w:fill="FFFFFF"/>
            <w:tcMar>
              <w:top w:w="100" w:type="dxa"/>
              <w:bottom w:w="100" w:type="dxa"/>
              <w:left w:w="100" w:type="dxa"/>
              <w:right w:w="100" w:type="dxa"/>
            </w:tcMar>
          </w:tcPr>
          <w:p>
            <w:pPr>
              <w:jc w:val="center"/>
            </w:pPr>
            <w:r>
              <w:rPr>
                <w:rFonts w:ascii="Times New Roman" w:hAnsi="Times New Roman"/>
                <w:b/>
                <w:color w:val="B91C1C"/>
                <w:sz w:val="20"/>
              </w:rPr>
              <w:t>16.50%</w:t>
            </w:r>
          </w:p>
        </w:tc>
        <w:tc>
          <w:tcPr>
            <w:tcW w:type="dxa" w:w="1244"/>
            <w:shd w:fill="FFFFFF"/>
            <w:tcMar>
              <w:top w:w="100" w:type="dxa"/>
              <w:bottom w:w="100" w:type="dxa"/>
              <w:left w:w="100" w:type="dxa"/>
              <w:right w:w="100" w:type="dxa"/>
            </w:tcMar>
          </w:tcPr>
          <w:p>
            <w:pPr>
              <w:jc w:val="center"/>
            </w:pPr>
            <w:r>
              <w:rPr>
                <w:rFonts w:ascii="Times New Roman" w:hAnsi="Times New Roman"/>
                <w:sz w:val="20"/>
              </w:rPr>
              <w:t>15.0%</w:t>
            </w:r>
          </w:p>
        </w:tc>
        <w:tc>
          <w:tcPr>
            <w:tcW w:type="dxa" w:w="1244"/>
            <w:shd w:fill="FFFFFF"/>
            <w:tcMar>
              <w:top w:w="100" w:type="dxa"/>
              <w:bottom w:w="100" w:type="dxa"/>
              <w:left w:w="100" w:type="dxa"/>
              <w:right w:w="100" w:type="dxa"/>
            </w:tcMar>
          </w:tcPr>
          <w:p>
            <w:pPr>
              <w:jc w:val="center"/>
            </w:pPr>
            <w:r>
              <w:rPr>
                <w:rFonts w:ascii="Times New Roman" w:hAnsi="Times New Roman"/>
                <w:b/>
                <w:color w:val="B91C1C"/>
                <w:sz w:val="20"/>
              </w:rPr>
              <w:t>Không đạt (&gt; TEa)</w:t>
            </w:r>
          </w:p>
        </w:tc>
        <w:tc>
          <w:tcPr>
            <w:tcW w:type="dxa" w:w="1244"/>
            <w:shd w:fill="FFFFFF"/>
            <w:tcMar>
              <w:top w:w="100" w:type="dxa"/>
              <w:bottom w:w="100" w:type="dxa"/>
              <w:left w:w="100" w:type="dxa"/>
              <w:right w:w="100" w:type="dxa"/>
            </w:tcMar>
          </w:tcPr>
          <w:p>
            <w:pPr>
              <w:jc w:val="center"/>
            </w:pPr>
            <w:r>
              <w:rPr>
                <w:rFonts w:ascii="Times New Roman" w:hAnsi="Times New Roman"/>
                <w:b/>
                <w:color w:val="B91C1C"/>
                <w:sz w:val="20"/>
              </w:rPr>
              <w:t>1.49σ</w:t>
            </w:r>
          </w:p>
        </w:tc>
        <w:tc>
          <w:tcPr>
            <w:tcW w:type="dxa" w:w="1244"/>
            <w:shd w:fill="FFFFFF"/>
            <w:tcMar>
              <w:top w:w="100" w:type="dxa"/>
              <w:bottom w:w="100" w:type="dxa"/>
              <w:left w:w="100" w:type="dxa"/>
              <w:right w:w="100" w:type="dxa"/>
            </w:tcMar>
          </w:tcPr>
          <w:p>
            <w:pPr>
              <w:jc w:val="center"/>
            </w:pPr>
            <w:r>
              <w:rPr>
                <w:rFonts w:ascii="Times New Roman" w:hAnsi="Times New Roman"/>
                <w:b/>
                <w:color w:val="B91C1C"/>
                <w:sz w:val="20"/>
              </w:rPr>
              <w:t>Không chấp nhận (&lt; 2σ)</w:t>
            </w:r>
          </w:p>
        </w:tc>
      </w:tr>
      <w:tr>
        <w:tc>
          <w:tcPr>
            <w:tcW w:type="dxa" w:w="1244"/>
            <w:vMerge/>
            <w:shd w:fill="F8FAFC"/>
            <w:tcMar>
              <w:top w:w="100" w:type="dxa"/>
              <w:bottom w:w="100" w:type="dxa"/>
              <w:left w:w="100" w:type="dxa"/>
              <w:right w:w="100" w:type="dxa"/>
            </w:tcMar>
          </w:tcPr>
          <w:p/>
        </w:tc>
        <w:tc>
          <w:tcPr>
            <w:tcW w:type="dxa" w:w="1244"/>
            <w:shd w:fill="F8FAFC"/>
            <w:tcMar>
              <w:top w:w="100" w:type="dxa"/>
              <w:bottom w:w="100" w:type="dxa"/>
              <w:left w:w="100" w:type="dxa"/>
              <w:right w:w="100" w:type="dxa"/>
            </w:tcMar>
          </w:tcPr>
          <w:p>
            <w:pPr>
              <w:jc w:val="center"/>
            </w:pPr>
            <w:r>
              <w:rPr>
                <w:rFonts w:ascii="Times New Roman" w:hAnsi="Times New Roman"/>
                <w:sz w:val="20"/>
              </w:rPr>
              <w:t>High</w:t>
            </w:r>
          </w:p>
        </w:tc>
        <w:tc>
          <w:tcPr>
            <w:tcW w:type="dxa" w:w="1244"/>
            <w:shd w:fill="F8FAFC"/>
            <w:tcMar>
              <w:top w:w="100" w:type="dxa"/>
              <w:bottom w:w="100" w:type="dxa"/>
              <w:left w:w="100" w:type="dxa"/>
              <w:right w:w="100" w:type="dxa"/>
            </w:tcMar>
          </w:tcPr>
          <w:p>
            <w:pPr>
              <w:jc w:val="center"/>
            </w:pPr>
            <w:r>
              <w:rPr>
                <w:rFonts w:ascii="Times New Roman" w:hAnsi="Times New Roman"/>
                <w:sz w:val="20"/>
              </w:rPr>
              <w:t>354.00 µmol/L</w:t>
            </w:r>
          </w:p>
        </w:tc>
        <w:tc>
          <w:tcPr>
            <w:tcW w:type="dxa" w:w="1244"/>
            <w:shd w:fill="F8FAFC"/>
            <w:tcMar>
              <w:top w:w="100" w:type="dxa"/>
              <w:bottom w:w="100" w:type="dxa"/>
              <w:left w:w="100" w:type="dxa"/>
              <w:right w:w="100" w:type="dxa"/>
            </w:tcMar>
          </w:tcPr>
          <w:p>
            <w:pPr>
              <w:jc w:val="center"/>
            </w:pPr>
            <w:r>
              <w:rPr>
                <w:rFonts w:ascii="Times New Roman" w:hAnsi="Times New Roman"/>
                <w:sz w:val="20"/>
              </w:rPr>
              <w:t>31.75</w:t>
            </w:r>
          </w:p>
        </w:tc>
        <w:tc>
          <w:tcPr>
            <w:tcW w:type="dxa" w:w="1244"/>
            <w:shd w:fill="F8FAFC"/>
            <w:tcMar>
              <w:top w:w="100" w:type="dxa"/>
              <w:bottom w:w="100" w:type="dxa"/>
              <w:left w:w="100" w:type="dxa"/>
              <w:right w:w="100" w:type="dxa"/>
            </w:tcMar>
          </w:tcPr>
          <w:p>
            <w:pPr>
              <w:jc w:val="center"/>
            </w:pPr>
            <w:r>
              <w:rPr>
                <w:rFonts w:ascii="Times New Roman" w:hAnsi="Times New Roman"/>
                <w:sz w:val="20"/>
              </w:rPr>
              <w:t>8.97%</w:t>
            </w:r>
          </w:p>
        </w:tc>
        <w:tc>
          <w:tcPr>
            <w:tcW w:type="dxa" w:w="1244"/>
            <w:shd w:fill="F8FAFC"/>
            <w:tcMar>
              <w:top w:w="100" w:type="dxa"/>
              <w:bottom w:w="100" w:type="dxa"/>
              <w:left w:w="100" w:type="dxa"/>
              <w:right w:w="100" w:type="dxa"/>
            </w:tcMar>
          </w:tcPr>
          <w:p>
            <w:pPr>
              <w:jc w:val="center"/>
            </w:pPr>
            <w:r>
              <w:rPr>
                <w:rFonts w:ascii="Times New Roman" w:hAnsi="Times New Roman"/>
                <w:sz w:val="20"/>
              </w:rPr>
              <w:t>1.43%</w:t>
            </w:r>
          </w:p>
        </w:tc>
        <w:tc>
          <w:tcPr>
            <w:tcW w:type="dxa" w:w="1244"/>
            <w:shd w:fill="F8FAFC"/>
            <w:tcMar>
              <w:top w:w="100" w:type="dxa"/>
              <w:bottom w:w="100" w:type="dxa"/>
              <w:left w:w="100" w:type="dxa"/>
              <w:right w:w="100" w:type="dxa"/>
            </w:tcMar>
          </w:tcPr>
          <w:p>
            <w:pPr>
              <w:jc w:val="center"/>
            </w:pPr>
            <w:r>
              <w:rPr>
                <w:rFonts w:ascii="Times New Roman" w:hAnsi="Times New Roman"/>
                <w:b/>
                <w:color w:val="B91C1C"/>
                <w:sz w:val="20"/>
              </w:rPr>
              <w:t>16.23%</w:t>
            </w:r>
          </w:p>
        </w:tc>
        <w:tc>
          <w:tcPr>
            <w:tcW w:type="dxa" w:w="1244"/>
            <w:shd w:fill="F8FAFC"/>
            <w:tcMar>
              <w:top w:w="100" w:type="dxa"/>
              <w:bottom w:w="100" w:type="dxa"/>
              <w:left w:w="100" w:type="dxa"/>
              <w:right w:w="100" w:type="dxa"/>
            </w:tcMar>
          </w:tcPr>
          <w:p>
            <w:pPr>
              <w:jc w:val="center"/>
            </w:pPr>
            <w:r>
              <w:rPr>
                <w:rFonts w:ascii="Times New Roman" w:hAnsi="Times New Roman"/>
                <w:sz w:val="20"/>
              </w:rPr>
              <w:t>15.0%</w:t>
            </w:r>
          </w:p>
        </w:tc>
        <w:tc>
          <w:tcPr>
            <w:tcW w:type="dxa" w:w="1244"/>
            <w:shd w:fill="F8FAFC"/>
            <w:tcMar>
              <w:top w:w="100" w:type="dxa"/>
              <w:bottom w:w="100" w:type="dxa"/>
              <w:left w:w="100" w:type="dxa"/>
              <w:right w:w="100" w:type="dxa"/>
            </w:tcMar>
          </w:tcPr>
          <w:p>
            <w:pPr>
              <w:jc w:val="center"/>
            </w:pPr>
            <w:r>
              <w:rPr>
                <w:rFonts w:ascii="Times New Roman" w:hAnsi="Times New Roman"/>
                <w:b/>
                <w:color w:val="B91C1C"/>
                <w:sz w:val="20"/>
              </w:rPr>
              <w:t>Không đạt (&gt; TEa)</w:t>
            </w:r>
          </w:p>
        </w:tc>
        <w:tc>
          <w:tcPr>
            <w:tcW w:type="dxa" w:w="1244"/>
            <w:shd w:fill="F8FAFC"/>
            <w:tcMar>
              <w:top w:w="100" w:type="dxa"/>
              <w:bottom w:w="100" w:type="dxa"/>
              <w:left w:w="100" w:type="dxa"/>
              <w:right w:w="100" w:type="dxa"/>
            </w:tcMar>
          </w:tcPr>
          <w:p>
            <w:pPr>
              <w:jc w:val="center"/>
            </w:pPr>
            <w:r>
              <w:rPr>
                <w:rFonts w:ascii="Times New Roman" w:hAnsi="Times New Roman"/>
                <w:b/>
                <w:color w:val="B91C1C"/>
                <w:sz w:val="20"/>
              </w:rPr>
              <w:t>1.51σ</w:t>
            </w:r>
          </w:p>
        </w:tc>
        <w:tc>
          <w:tcPr>
            <w:tcW w:type="dxa" w:w="1244"/>
            <w:shd w:fill="F8FAFC"/>
            <w:tcMar>
              <w:top w:w="100" w:type="dxa"/>
              <w:bottom w:w="100" w:type="dxa"/>
              <w:left w:w="100" w:type="dxa"/>
              <w:right w:w="100" w:type="dxa"/>
            </w:tcMar>
          </w:tcPr>
          <w:p>
            <w:pPr>
              <w:jc w:val="center"/>
            </w:pPr>
            <w:r>
              <w:rPr>
                <w:rFonts w:ascii="Times New Roman" w:hAnsi="Times New Roman"/>
                <w:b/>
                <w:color w:val="B91C1C"/>
                <w:sz w:val="20"/>
              </w:rPr>
              <w:t>Không chấp nhận (&lt; 2σ)</w:t>
            </w:r>
          </w:p>
        </w:tc>
      </w:tr>
    </w:tbl>
    <w:p/>
    <w:p>
      <w:r>
        <w:rPr>
          <w:rFonts w:ascii="Times New Roman" w:hAnsi="Times New Roman"/>
          <w:b/>
          <w:color w:val="0F1F3D"/>
          <w:sz w:val="24"/>
        </w:rPr>
        <w:t>I. CĂN CỨ KHOA HỌC VÀ CÔNG THỨC TÍNH TOÁN</w:t>
      </w:r>
    </w:p>
    <w:p>
      <w:pPr>
        <w:ind w:left="288"/>
      </w:pPr>
      <w:r>
        <w:rPr>
          <w:b/>
        </w:rPr>
        <w:t xml:space="preserve">1. Hệ số biến thiên (CV% cũ): </w:t>
      </w:r>
      <w:r>
        <w:t>CV% = (SD_hãng / Mean) × 100% (Phản ánh độ chụm/độ lặp lại khi dùng SD hãng).</w:t>
      </w:r>
    </w:p>
    <w:p>
      <w:pPr>
        <w:ind w:left="288"/>
      </w:pPr>
      <w:r>
        <w:rPr>
          <w:b/>
        </w:rPr>
        <w:t xml:space="preserve">2. Sai số toàn bộ thực tế (TE thực tế): </w:t>
      </w:r>
      <w:r>
        <w:t>TE = |Bias%| + 1.65 × CV% (Theo tiêu chuẩn quốc tế CLSI C24 / Westgard ở độ tin cậy 95%).</w:t>
      </w:r>
    </w:p>
    <w:p>
      <w:pPr>
        <w:ind w:left="288"/>
      </w:pPr>
      <w:r>
        <w:rPr>
          <w:b/>
        </w:rPr>
        <w:t xml:space="preserve">3. Chỉ số Six Sigma (σ cũ): </w:t>
      </w:r>
      <w:r>
        <w:t>Sigma = (TEa - |Bias%|) / CV% (Đánh giá năng lực của phương pháp xét nghiệm theo thang đo quốc tế).</w:t>
      </w:r>
    </w:p>
    <w:p>
      <w:pPr>
        <w:ind w:left="288"/>
      </w:pPr>
      <w:r>
        <w:rPr>
          <w:b/>
        </w:rPr>
        <w:t>4. Thang phân loại Six Sigma trong y tế lâm sàng:</w:t>
      </w:r>
      <w:r>
        <w:br/>
        <w:t xml:space="preserve">   • Sigma ≥ 6.0: Đẳng cấp thế giới (World Class)</w:t>
        <w:br/>
        <w:t xml:space="preserve">   • 5.0 ≤ Sigma &lt; 6.0: Xuất sắc (Excellent)</w:t>
        <w:br/>
        <w:t xml:space="preserve">   • 4.0 ≤ Sigma &lt; 5.0: Tốt (Good)</w:t>
        <w:br/>
        <w:t xml:space="preserve">   • 3.0 ≤ Sigma &lt; 4.0: Đạt yêu cầu tối thiểu (Marginal)</w:t>
        <w:br/>
        <w:t xml:space="preserve">   • Sigma &lt; 2.0: Kém / Không thể chấp nhận (Unacceptable).</w:t>
      </w:r>
    </w:p>
    <w:p/>
    <w:p>
      <w:r>
        <w:rPr>
          <w:rFonts w:ascii="Times New Roman" w:hAnsi="Times New Roman"/>
          <w:b/>
          <w:color w:val="0F1F3D"/>
          <w:sz w:val="24"/>
        </w:rPr>
        <w:t>II. NHẬN XÉT VÀ THUYẾT MINH THỰC TRẠNG (ĐƯA VÀO BÁO CÁO GIẢI PHÁP)</w:t>
      </w:r>
    </w:p>
    <w:p>
      <w:pPr>
        <w:spacing w:line="288" w:lineRule="auto"/>
        <w:ind w:left="288"/>
      </w:pPr>
      <w:r>
        <w:rPr>
          <w:rFonts w:ascii="Times New Roman" w:hAnsi="Times New Roman"/>
          <w:i/>
          <w:color w:val="1E293B"/>
          <w:sz w:val="22"/>
        </w:rPr>
        <w:t>"Trước khi triển khai đề tài, phòng xét nghiệm áp dụng độ lệch chuẩn (SD) do nhà sản xuất công bố trên tờ insert của mẫu kiểm chuẩn (IQC). Do dải SD của nhà sản xuất được xây dựng rộng để dung hòa nhiều dòng máy và điều kiện phòng xét nghiệm khác nhau, nên hệ số biến thiên (CV%) rất cao (dao động từ 5.31% đến 9.09%).</w:t>
        <w:br/>
        <w:br/>
        <w:t>Hệ quả thực tế:</w:t>
        <w:br/>
        <w:t>1. Sai số tổng thực tế (TE) của cả 3 xét nghiệm Glucose, Ure và Creatinin ở cả 2 mức nồng độ (Normal và High) đều vượt quá ngưỡng sai số tối đa cho phép (TE &gt; TEa), trong đó Glucose Normal vượt tới 14.61% so với ngưỡng 8.0%, Creatinin Normal vượt tới 16.50% so với ngưỡng 15.0%.</w:t>
        <w:br/>
        <w:t>2. Toàn bộ các chỉ số Six Sigma đều dưới 2.0σ (chỉ dao động từ 0.76σ đến 1.51σ), thuộc mức chất lượng kém / không được chấp nhận trong quản lý chất lượng y tế.</w:t>
        <w:br/>
        <w:br/>
        <w:t>Thực trạng trên chứng minh việc phụ thuộc vào SD của nhà sản xuất không phản ánh đúng năng lực thực tế của thiết bị tại cơ sở, đồng thời làm giảm hiệu quả kiểm soát sai số nội kiểm. Điều này đặt ra yêu cầu cấp thiết phải thực hiện giải pháp: 'Xây dựng dải SD thực tế tích lũy của phòng xét nghiệm để kiểm soát chất lượng đạt chuẩn TEa và nâng cao năng lực Six Sigma'."</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