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FREELANCE WRITER AGREEMENT</w:t>
      </w:r>
    </w:p>
    <w:p>
      <w:r>
        <w:t>Publisher: Brightline Media Group, Inc. ("Publisher")</w:t>
        <w:br/>
        <w:t>Writer: Priya Raman ("Writer")</w:t>
        <w:br/>
        <w:t>Date: August 18, 2026</w:t>
      </w:r>
    </w:p>
    <w:p>
      <w:r>
        <w:t>Assignment. Writer will write four (4) long-form articles of approximately 2,000 words each on topics assigned by Publisher's editors, delivered according to the editorial calendar Publisher provides.</w:t>
      </w:r>
    </w:p>
    <w:p>
      <w:r>
        <w:t>Compensation. Publisher will pay Writer $450 per article. Payment will be made within thirty (30) days after the article is published on Publisher's website. Publisher is not obligated to publish any article, and no payment is owed for articles that Publisher decides not to publish.</w:t>
      </w:r>
    </w:p>
    <w:p>
      <w:r>
        <w:t>Revisions. Writer will make any revisions requested by Publisher's editors until the article is accepted.</w:t>
      </w:r>
    </w:p>
    <w:p>
      <w:r>
        <w:t>Rights. Each article is a work made for hire, and Publisher will own all rights in the article throughout the world, in all media now known or later developed, including the right to edit, adapt, and publish it under any byline or with no byline. Writer may not republish or excerpt the article anywhere.</w:t>
      </w:r>
    </w:p>
    <w:p>
      <w:r>
        <w:t>Cancellation. Publisher may cancel any assignment at any time. If Publisher cancels an assignment, no fee is owed.</w:t>
      </w:r>
    </w:p>
    <w:p>
      <w:r>
        <w:t>Warranty and Indemnity. Writer represents that each article is original and does not infringe or defame. Writer will indemnify Publisher against any claim arising from an article, including claims arising from edits made by Publisher.</w:t>
      </w:r>
    </w:p>
    <w:p>
      <w:r>
        <w:t>Disputes. This agreement is governed by New York law. Any dispute must be brought in the state or federal courts in New York County, New York.</w:t>
      </w:r>
    </w:p>
    <w:p>
      <w:r>
        <w:t>Agreed:</w:t>
        <w:br/>
        <w:t>Brightline Media Group, Inc., by Owen Carter, Managing Editor</w:t>
        <w:br/>
        <w:t>Priya Raman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