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Remaining categories (Sound, Music, Text-to-Speech, Translate, Video Sensing) still need their own new infrastructure (sound assets, mic/webcam access, a translation API) and haven't been started.</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2026-10-22T21:27:10.974Z</dcterms:created>
  <dcterms:modified xsi:type="dcterms:W3CDTF">2026-10-22T21:27:10.977Z</dcterms:modified>
</cp:coreProperties>
</file>

<file path=docProps/custom.xml><?xml version="1.0" encoding="utf-8"?>
<Properties xmlns="http://schemas.openxmlformats.org/officeDocument/2006/custom-properties" xmlns:vt="http://schemas.openxmlformats.org/officeDocument/2006/docPropsVTypes"/>
</file>