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pStyle ns0:val="Title"/>
      </ns0:pPr>
      <ns0:r>
        <ns0:t>Fine-Grained Dog Breed Classification on Stanford Dogs: A Transfer-Learning Baseline and Error Analysis</ns0:t>
      </ns0:r>
    </ns0:p>
    <ns0:p>
      <ns0:pPr/>
      <ns0:r>
        <ns0:t>[Author name]</ns0:t>
      </ns0:r>
    </ns0:p>
    <ns0:p>
      <ns0:pPr/>
      <ns0:r>
        <ns0:t>[Department, university, city, country]</ns0:t>
      </ns0:r>
    </ns0:p>
    <ns0:p>
      <ns0:pPr>
        <ns0:pStyle ns0:val="Heading1"/>
      </ns0:pPr>
      <ns0:r>
        <ns0:t>Abstract</ns0:t>
      </ns0:r>
    </ns0:p>
    <ns0:p>
      <ns0:pPr/>
      <ns0:r>
        <ns0:t xml:space="preserve">We evaluated an ImageNet-pretrained EfficientNet-B0 on the 120-class Stanford Dogs dataset using the official train/test split. A validation-selected checkpoint reached 82.50% validation accuracy after two epochs. On the untouched official test set of 8,580 images, it achieved 82.26% top-1 accuracy and 81.22% macro F1. This single-seed result exceeds the project target of 80%, but it is not a state-of-the-art claim.</ns0:t>
      </ns0:r>
    </ns0:p>
    <ns0:p>
      <ns0:pPr/>
      <ns0: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pStyle ns0:val="Heading1"/>
      </ns0:pPr>
      <ns0:r>
        <ns0:t>1. Introduction</ns0:t>
      </ns0:r>
    </ns0:p>
    <ns0:p>
      <ns0:pPr/>
      <ns0:r>
        <ns0:t>Fine-grained image classification requires distinguishing categories with subtle visual differences. Dog breeds illustrate this challenge: different breeds may share coat colors and facial features, while dogs of the same breed can look different because of pose, grooming, lighting, age, or camera angle. The Stanford Dogs dataset contains 120 breeds, 20,580 images, and bounding-box annotations [1].</ns0:t>
      </ns0:r>
    </ns0:p>
    <ns0:p>
      <ns0:pPr/>
      <ns0:r>
        <ns0:t>An overall accuracy score does not show whether a model performs equally well across all breeds. A model may classify many images correctly while repeatedly confusing a smaller group of classes. Per-breed metrics and confusion counts help describe these patterns, but they do not explain why a particular error occurred.</ns0:t>
      </ns0:r>
    </ns0:p>
    <ns0:p>
      <ns0:pPr/>
      <ns0:r>
        <ns0:t xml:space="preserve">We evaluate an ImageNet-pretrained EfficientNet-B0 as a transfer-learning model. We report overall and per-breed performance, then examine recurring classification errors. Results from other studies provide context, but they are not direct comparisons because performance depends on architecture, input resolution, pretraining, augmentation, split handling, and metric definitions.</ns0:t>
      </ns0:r>
    </ns0:p>
    <ns0:p>
      <ns0:pPr>
        <ns0:pStyle ns0:val="Heading1"/>
      </ns0:pPr>
      <ns0:r>
        <ns0:t>2. Methods</ns0:t>
      </ns0:r>
    </ns0:p>
    <ns0:p>
      <ns0:pPr>
        <ns0:pStyle ns0:val="Heading2"/>
      </ns0:pPr>
      <ns0:r>
        <ns0:t>2.1 Data split and preprocessing</ns0:t>
      </ns0:r>
    </ns0:p>
    <ns0:p>
      <ns0:pPr/>
      <ns0:r>
        <ns0:t>We set aside 10% of the training partition for validation using stratified sampling by class. This produced 10,800 training images and 1,200 validation images.</ns0:t>
      </ns0:r>
    </ns0:p>
    <ns0:p>
      <ns0:pPr/>
      <ns0:r>
        <ns0:t xml:space="preserve">Training images used random resized crops at 224 × 224 pixels with crop scale 0.65–1.0, horizontal flips, and RandAugment. Validation and test images were resized to 256 pixels and center-cropped to 224 × 224 pixels. Images were normalized with ImageNet channel means and standard deviations.</ns0:t>
      </ns0:r>
    </ns0:p>
    <ns0:p>
      <ns0:pPr>
        <ns0:pStyle ns0:val="Heading2"/>
      </ns0:pPr>
      <ns0:r>
        <ns0:t>2.2 Model and training</ns0:t>
      </ns0:r>
    </ns0:p>
    <ns0:p>
      <ns0:pPr/>
      <ns0:r>
        <ns0:t xml:space="preserve">The model used ImageNet-pretrained EfficientNet-B0 weights, with its classifier replaced by a 120-output layer. Training used batches of 32 at 224-pixel input resolution, random resized crops (scale 0.65–1.0), horizontal flips, RandAugment, and label-smoothed cross-entropy. AdamW used learning rates of 1.5 × 10⁻⁴ for the feature extractor and 10⁻³ for the classifier, with weight decay 10⁻⁴. A cosine learning-rate schedule ran for two epochs with seed 42 on Apple MPS.</ns0:t>
      </ns0:r>
    </ns0:p>
    <ns0:p>
      <ns0:pPr/>
      <ns0:r>
        <ns0:t xml:space="preserve">We trained for two epochs and selected the checkpoint with the highest accuracy on the stratified 1,200-image validation subset. The experiment used one seed, so the results do not show variation across runs.</ns0:t>
      </ns0:r>
    </ns0:p>
    <ns0:p>
      <ns0:pPr>
        <ns0:pStyle ns0:val="Heading2"/>
      </ns0:pPr>
      <ns0:r>
        <ns0:t>2.3 Evaluation</ns0:t>
      </ns0:r>
    </ns0:p>
    <ns0:p>
      <ns0:pPr/>
      <ns0:r>
        <ns0:t>We report top-1 accuracy, macro precision, macro recall, macro F1, and per-breed precision, recall, F1, and support. Top-1 accuracy is the proportion of test images for which the model’s highest-ranked prediction is correct. For macro metrics, we calculate the metric for each breed and average the results, giving every breed equal weight.</ns0:t>
      </ns0:r>
    </ns0:p>
    <ns0:p>
      <ns0:pPr/>
      <ns0:r>
        <ns0:t>We also use a 120 × 120 confusion matrix to record predicted classes for each true breed. The plotted subset includes the 12 breeds with the largest number of errors. These counts show recurring prediction patterns but do not reveal their causes.</ns0:t>
      </ns0:r>
    </ns0:p>
    <ns0:p>
      <ns0:pPr>
        <ns0:pStyle ns0:val="Heading1"/>
      </ns0:pPr>
      <ns0:r>
        <ns0:t>3. Results and Error Analysis</ns0:t>
      </ns0:r>
    </ns0:p>
    <ns0:p>
      <ns0:pPr/>
      <ns0: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r>
        <ns0:t xml:space="preserve">Frequent directed confusions included Eskimo dog predicted as Siberian husky (28 images), Great Pyrenees as kuvasz (24), malamute as Siberian husky (24), and silky terrier as Yorkshire terrier (19). These counts show recurring prediction patterns, but do not establish their visual causes.</ns0:t>
      </ns0:r>
    </ns0:p>
    <ns0:p>
      <ns0:pPr/>
      <ns0:r>
        <ns0:t xml:space="preserve">The two-epoch run is brief and uses one random seed. Additional seeds and longer controlled runs are needed to assess variability and determine whether further fine-tuning improves the result.</ns0:t>
      </ns0:r>
    </ns0:p>
    <ns0:p>
      <ns0:pPr>
        <ns0:pStyle ns0:val="Heading1"/>
      </ns0:pPr>
      <ns0:r>
        <ns0:t>4. Reproducibility and Limitations</ns0:t>
      </ns0:r>
    </ns0:p>
    <ns0:p>
      <ns0:pPr/>
      <ns0:r>
        <ns0:t>The results depend on choices including the official file lists, validation sampling, image preprocessing, and checkpoint selection. Recording these details makes the experiment easier to repeat and compare with later runs.</ns0:t>
      </ns0:r>
    </ns0:p>
    <ns0:p>
      <ns0:pPr/>
      <ns0:r>
        <ns0:t>An independent reproduction would also require the software versions, dataset archive checksum, and exact validation sampling procedure. These details were not included in the supplied text. Library updates and backend nondeterminism can also affect results, so they should be recorded in a run log.</ns0:t>
      </ns0:r>
    </ns0:p>
    <ns0:p>
      <ns0:pPr>
        <ns0:pStyle ns0:val="Heading1"/>
      </ns0:pPr>
      <ns0:r>
        <ns0:t>References</ns0:t>
      </ns0:r>
    </ns0:p>
    <ns0:p>
      <ns0:pPr/>
      <ns0:r>
        <ns0:t>[1] A. Khosla, N. Jayadevaprakash, B. Yao, and L. Fei-Fei, “Novel Dataset for Fine-Grained Image Categorization: Stanford Dogs,” in First Workshop on Fine-Grained Visual Categorization, IEEE CVPR, 2011.</ns0:t>
      </ns0:r>
    </ns0:p>
    <ns0:p>
      <ns0:pPr/>
      <ns0:r>
        <ns0:t>[6] K. He, X. Zhang, S. Ren, and J. Sun, “Deep Residual Learning for Image Recognition,” in IEEE CVPR, pp. 770–778, 2016.</ns0:t>
      </ns0:r>
    </ns0:p>
    <ns0:sectPr ns0:rsidR="00FC693F" ns0:rsidRPr="0006063C" ns0:rsidSect="00034616">
      <ns0:type ns0:val="continuous"/>
      <ns0:pgSz ns0:w="12240" ns0:h="15840"/>
      <ns0:pgMar ns0:top="936" ns0:right="979" ns0:bottom="936" ns0:left="979" ns0:header="720" ns0:footer="720" ns0:gutter="0"/>
      <ns0:cols ns0:space="720"/>
      <ns0:docGrid ns0:linePitch="360"/>
      <ns0:cols ns0:num="2" ns0:space="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aps/>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i/>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Fine-Grained Dog Breed Classification on Stanford Dogs</dc:title>
  <dc:subject>Transfer-learning baseline and error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