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EBC5E" w14:textId="1E093B78" w:rsidR="00A7562B" w:rsidRPr="00A7562B" w:rsidRDefault="00A7562B" w:rsidP="00A7562B">
      <w:pPr>
        <w:pStyle w:val="Ttulo1"/>
        <w:spacing w:before="0" w:after="120"/>
        <w:rPr>
          <w:rFonts w:ascii="Arial" w:hAnsi="Arial" w:cs="Arial"/>
          <w:color w:val="1F1F1F"/>
          <w:sz w:val="26"/>
          <w:szCs w:val="26"/>
        </w:rPr>
      </w:pPr>
      <w:r w:rsidRPr="00A7562B">
        <w:rPr>
          <w:rFonts w:ascii="Arial" w:hAnsi="Arial" w:cs="Arial"/>
          <w:color w:val="1F1F1F"/>
          <w:sz w:val="26"/>
          <w:szCs w:val="26"/>
        </w:rPr>
        <w:t>Informe de Estrategia Institucional: SPY 2026</w:t>
      </w:r>
    </w:p>
    <w:p w14:paraId="34DD35D8" w14:textId="2F12C9A2" w:rsidR="00A7562B" w:rsidRPr="00A7562B" w:rsidRDefault="00A7562B" w:rsidP="00A7562B">
      <w:pPr>
        <w:pStyle w:val="NormalWeb"/>
        <w:spacing w:before="0" w:beforeAutospacing="0" w:after="0" w:afterAutospacing="0"/>
        <w:rPr>
          <w:rFonts w:ascii="Arial" w:hAnsi="Arial" w:cs="Arial"/>
          <w:color w:val="1F1F1F"/>
          <w:sz w:val="26"/>
          <w:szCs w:val="26"/>
        </w:rPr>
      </w:pPr>
      <w:r w:rsidRPr="00A7562B">
        <w:rPr>
          <w:rFonts w:ascii="Arial" w:hAnsi="Arial" w:cs="Arial"/>
          <w:b/>
          <w:bCs/>
          <w:color w:val="1F1F1F"/>
          <w:sz w:val="26"/>
          <w:szCs w:val="26"/>
          <w:bdr w:val="none" w:sz="0" w:space="0" w:color="auto" w:frame="1"/>
        </w:rPr>
        <w:t>Perspectiva de Mercado:</w:t>
      </w:r>
      <w:r w:rsidRPr="00A7562B">
        <w:rPr>
          <w:rFonts w:ascii="Arial" w:hAnsi="Arial" w:cs="Arial"/>
          <w:color w:val="1F1F1F"/>
          <w:sz w:val="26"/>
          <w:szCs w:val="26"/>
        </w:rPr>
        <w:t xml:space="preserve"> Alcista Moderada - Acumulación de Valor</w:t>
      </w:r>
    </w:p>
    <w:p w14:paraId="0D07847D" w14:textId="77777777" w:rsidR="00A7562B" w:rsidRPr="00A7562B" w:rsidRDefault="00A7562B" w:rsidP="00A7562B">
      <w:pPr>
        <w:pStyle w:val="Ttulo2"/>
        <w:spacing w:before="0" w:after="120"/>
        <w:rPr>
          <w:rFonts w:ascii="Arial" w:hAnsi="Arial" w:cs="Arial"/>
          <w:color w:val="1F1F1F"/>
          <w:sz w:val="26"/>
          <w:szCs w:val="26"/>
        </w:rPr>
      </w:pPr>
      <w:r w:rsidRPr="00A7562B">
        <w:rPr>
          <w:rFonts w:ascii="Arial" w:hAnsi="Arial" w:cs="Arial"/>
          <w:color w:val="1F1F1F"/>
          <w:sz w:val="26"/>
          <w:szCs w:val="26"/>
        </w:rPr>
        <w:t>1. Resumen Ejecutivo</w:t>
      </w:r>
    </w:p>
    <w:p w14:paraId="74725EE9" w14:textId="77777777" w:rsidR="00A7562B" w:rsidRPr="00A7562B" w:rsidRDefault="00A7562B" w:rsidP="00A7562B">
      <w:pPr>
        <w:pStyle w:val="NormalWeb"/>
        <w:spacing w:before="0" w:beforeAutospacing="0" w:after="0" w:afterAutospacing="0"/>
        <w:rPr>
          <w:rFonts w:ascii="Arial" w:hAnsi="Arial" w:cs="Arial"/>
          <w:color w:val="1F1F1F"/>
          <w:sz w:val="26"/>
          <w:szCs w:val="26"/>
        </w:rPr>
      </w:pPr>
      <w:r w:rsidRPr="00A7562B">
        <w:rPr>
          <w:rFonts w:ascii="Arial" w:hAnsi="Arial" w:cs="Arial"/>
          <w:color w:val="1F1F1F"/>
          <w:sz w:val="26"/>
          <w:szCs w:val="26"/>
        </w:rPr>
        <w:t xml:space="preserve">El mercado de opciones para el </w:t>
      </w:r>
      <w:r w:rsidRPr="00A7562B">
        <w:rPr>
          <w:rFonts w:ascii="Arial" w:hAnsi="Arial" w:cs="Arial"/>
          <w:b/>
          <w:bCs/>
          <w:color w:val="1F1F1F"/>
          <w:sz w:val="26"/>
          <w:szCs w:val="26"/>
          <w:bdr w:val="none" w:sz="0" w:space="0" w:color="auto" w:frame="1"/>
        </w:rPr>
        <w:t>SPY</w:t>
      </w:r>
      <w:r w:rsidRPr="00A7562B">
        <w:rPr>
          <w:rFonts w:ascii="Arial" w:hAnsi="Arial" w:cs="Arial"/>
          <w:color w:val="1F1F1F"/>
          <w:sz w:val="26"/>
          <w:szCs w:val="26"/>
        </w:rPr>
        <w:t xml:space="preserve"> muestra una confianza robusta en la expansión económica hacia 2026. La curva de probabilidad presenta un sesgo hacia la derecha (alcista), con una volatilidad implícita que se mantiene en niveles de equilibrio (17% - 20%), lo que sugiere que las instituciones están utilizando las correcciones para acumular posiciones largas mediante la venta de seguros (Puts).</w:t>
      </w:r>
    </w:p>
    <w:p w14:paraId="2197D6C3" w14:textId="77777777" w:rsidR="00A7562B" w:rsidRPr="00A7562B" w:rsidRDefault="00A7562B" w:rsidP="00A7562B">
      <w:pPr>
        <w:pStyle w:val="NormalWeb"/>
        <w:spacing w:before="0" w:beforeAutospacing="0" w:after="0" w:afterAutospacing="0"/>
        <w:rPr>
          <w:rFonts w:ascii="Arial" w:hAnsi="Arial" w:cs="Arial"/>
          <w:color w:val="1F1F1F"/>
          <w:sz w:val="26"/>
          <w:szCs w:val="26"/>
        </w:rPr>
      </w:pPr>
    </w:p>
    <w:p w14:paraId="5AA3FCA4" w14:textId="4C97817A" w:rsidR="00A7562B" w:rsidRPr="00A7562B" w:rsidRDefault="00A7562B" w:rsidP="00A7562B">
      <w:pPr>
        <w:pStyle w:val="NormalWeb"/>
        <w:spacing w:before="0" w:beforeAutospacing="0" w:after="0" w:afterAutospacing="0"/>
        <w:rPr>
          <w:rFonts w:ascii="Arial" w:hAnsi="Arial" w:cs="Arial"/>
          <w:b/>
          <w:bCs/>
          <w:color w:val="1F1F1F"/>
          <w:sz w:val="26"/>
          <w:szCs w:val="26"/>
        </w:rPr>
      </w:pPr>
      <w:r w:rsidRPr="00A7562B">
        <w:rPr>
          <w:rFonts w:ascii="Arial" w:hAnsi="Arial" w:cs="Arial"/>
          <w:b/>
          <w:bCs/>
          <w:color w:val="1F1F1F"/>
          <w:sz w:val="26"/>
          <w:szCs w:val="26"/>
        </w:rPr>
        <w:t>SPY 20 de marzo del 2026</w:t>
      </w:r>
    </w:p>
    <w:p w14:paraId="511E13E0" w14:textId="59A8D68A" w:rsidR="00A7562B" w:rsidRPr="00A7562B" w:rsidRDefault="00A7562B" w:rsidP="00A7562B">
      <w:pPr>
        <w:pStyle w:val="NormalWeb"/>
        <w:spacing w:before="0" w:beforeAutospacing="0" w:after="0" w:afterAutospacing="0"/>
        <w:rPr>
          <w:rFonts w:ascii="Arial" w:hAnsi="Arial" w:cs="Arial"/>
          <w:color w:val="1F1F1F"/>
          <w:sz w:val="26"/>
          <w:szCs w:val="26"/>
        </w:rPr>
      </w:pPr>
      <w:r w:rsidRPr="00A7562B">
        <w:rPr>
          <w:rFonts w:ascii="Arial" w:hAnsi="Arial" w:cs="Arial"/>
          <w:noProof/>
          <w:sz w:val="26"/>
          <w:szCs w:val="26"/>
        </w:rPr>
        <w:drawing>
          <wp:inline distT="0" distB="0" distL="0" distR="0" wp14:anchorId="75D4ECEA" wp14:editId="5A6AAF2B">
            <wp:extent cx="5400040" cy="1280795"/>
            <wp:effectExtent l="0" t="0" r="0" b="0"/>
            <wp:docPr id="938489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89078" name=""/>
                    <pic:cNvPicPr/>
                  </pic:nvPicPr>
                  <pic:blipFill>
                    <a:blip r:embed="rId5"/>
                    <a:stretch>
                      <a:fillRect/>
                    </a:stretch>
                  </pic:blipFill>
                  <pic:spPr>
                    <a:xfrm>
                      <a:off x="0" y="0"/>
                      <a:ext cx="5400040" cy="1280795"/>
                    </a:xfrm>
                    <a:prstGeom prst="rect">
                      <a:avLst/>
                    </a:prstGeom>
                  </pic:spPr>
                </pic:pic>
              </a:graphicData>
            </a:graphic>
          </wp:inline>
        </w:drawing>
      </w:r>
    </w:p>
    <w:p w14:paraId="7A02D4C1" w14:textId="77777777" w:rsidR="00A7562B" w:rsidRPr="00A7562B" w:rsidRDefault="00A7562B" w:rsidP="00A7562B">
      <w:pPr>
        <w:rPr>
          <w:rFonts w:ascii="Arial" w:hAnsi="Arial" w:cs="Arial"/>
          <w:sz w:val="26"/>
          <w:szCs w:val="26"/>
        </w:rPr>
      </w:pPr>
    </w:p>
    <w:p w14:paraId="635A3BF1" w14:textId="52C361BB" w:rsidR="00A7562B" w:rsidRPr="00A7562B" w:rsidRDefault="00A7562B" w:rsidP="00A7562B">
      <w:pPr>
        <w:rPr>
          <w:rFonts w:ascii="Arial" w:hAnsi="Arial" w:cs="Arial"/>
          <w:sz w:val="26"/>
          <w:szCs w:val="26"/>
        </w:rPr>
      </w:pPr>
      <w:r w:rsidRPr="007556CE">
        <w:rPr>
          <w:rFonts w:ascii="Arial" w:hAnsi="Arial" w:cs="Arial"/>
          <w:b/>
          <w:bCs/>
          <w:sz w:val="26"/>
          <w:szCs w:val="26"/>
        </w:rPr>
        <w:t>SPY 17 de abril del 2026</w:t>
      </w:r>
      <w:r w:rsidRPr="00A7562B">
        <w:rPr>
          <w:rFonts w:ascii="Arial" w:hAnsi="Arial" w:cs="Arial"/>
          <w:noProof/>
          <w:sz w:val="26"/>
          <w:szCs w:val="26"/>
        </w:rPr>
        <w:drawing>
          <wp:inline distT="0" distB="0" distL="0" distR="0" wp14:anchorId="69FBC230" wp14:editId="09943BC0">
            <wp:extent cx="5400040" cy="1379220"/>
            <wp:effectExtent l="0" t="0" r="0" b="0"/>
            <wp:docPr id="1267315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15278" name=""/>
                    <pic:cNvPicPr/>
                  </pic:nvPicPr>
                  <pic:blipFill>
                    <a:blip r:embed="rId6"/>
                    <a:stretch>
                      <a:fillRect/>
                    </a:stretch>
                  </pic:blipFill>
                  <pic:spPr>
                    <a:xfrm>
                      <a:off x="0" y="0"/>
                      <a:ext cx="5400040" cy="1379220"/>
                    </a:xfrm>
                    <a:prstGeom prst="rect">
                      <a:avLst/>
                    </a:prstGeom>
                  </pic:spPr>
                </pic:pic>
              </a:graphicData>
            </a:graphic>
          </wp:inline>
        </w:drawing>
      </w:r>
    </w:p>
    <w:p w14:paraId="62B016FD" w14:textId="6B4F0274" w:rsidR="00A7562B" w:rsidRPr="007556CE" w:rsidRDefault="00A7562B" w:rsidP="00A7562B">
      <w:pPr>
        <w:pStyle w:val="Ttulo2"/>
        <w:spacing w:before="0" w:after="120"/>
        <w:rPr>
          <w:rFonts w:ascii="Arial" w:hAnsi="Arial" w:cs="Arial"/>
          <w:b/>
          <w:bCs/>
          <w:color w:val="1F1F1F"/>
          <w:sz w:val="26"/>
          <w:szCs w:val="26"/>
        </w:rPr>
      </w:pPr>
      <w:r w:rsidRPr="007556CE">
        <w:rPr>
          <w:rFonts w:ascii="Arial" w:hAnsi="Arial" w:cs="Arial"/>
          <w:b/>
          <w:bCs/>
          <w:color w:val="1F1F1F"/>
          <w:sz w:val="26"/>
          <w:szCs w:val="26"/>
        </w:rPr>
        <w:t>2. Niveles Clave de Soporte y Resistencia</w:t>
      </w:r>
    </w:p>
    <w:p w14:paraId="186EDBFA" w14:textId="77777777" w:rsidR="00A7562B" w:rsidRPr="00A7562B" w:rsidRDefault="00A7562B" w:rsidP="00A7562B">
      <w:pPr>
        <w:pStyle w:val="NormalWeb"/>
        <w:spacing w:before="0" w:beforeAutospacing="0" w:after="0" w:afterAutospacing="0"/>
        <w:rPr>
          <w:rFonts w:ascii="Arial" w:hAnsi="Arial" w:cs="Arial"/>
          <w:color w:val="1F1F1F"/>
          <w:sz w:val="26"/>
          <w:szCs w:val="26"/>
        </w:rPr>
      </w:pPr>
      <w:r w:rsidRPr="00A7562B">
        <w:rPr>
          <w:rFonts w:ascii="Arial" w:hAnsi="Arial" w:cs="Arial"/>
          <w:color w:val="1F1F1F"/>
          <w:sz w:val="26"/>
          <w:szCs w:val="26"/>
        </w:rPr>
        <w:t xml:space="preserve">Basado en los picos de probabilidad y el posicionamiento de mercado observado en el </w:t>
      </w:r>
      <w:r w:rsidRPr="00A7562B">
        <w:rPr>
          <w:rFonts w:ascii="Arial" w:hAnsi="Arial" w:cs="Arial"/>
          <w:b/>
          <w:bCs/>
          <w:color w:val="1F1F1F"/>
          <w:sz w:val="26"/>
          <w:szCs w:val="26"/>
          <w:bdr w:val="none" w:sz="0" w:space="0" w:color="auto" w:frame="1"/>
        </w:rPr>
        <w:t>Probability Lab</w:t>
      </w:r>
      <w:r w:rsidRPr="00A7562B">
        <w:rPr>
          <w:rFonts w:ascii="Arial" w:hAnsi="Arial" w:cs="Arial"/>
          <w:color w:val="1F1F1F"/>
          <w:sz w:val="26"/>
          <w:szCs w:val="26"/>
        </w:rPr>
        <w:t>:</w:t>
      </w:r>
    </w:p>
    <w:tbl>
      <w:tblPr>
        <w:tblW w:w="9064" w:type="dxa"/>
        <w:tblCellSpacing w:w="15" w:type="dxa"/>
        <w:tblLayout w:type="fixed"/>
        <w:tblCellMar>
          <w:left w:w="0" w:type="dxa"/>
          <w:right w:w="0" w:type="dxa"/>
        </w:tblCellMar>
        <w:tblLook w:val="04A0" w:firstRow="1" w:lastRow="0" w:firstColumn="1" w:lastColumn="0" w:noHBand="0" w:noVBand="1"/>
      </w:tblPr>
      <w:tblGrid>
        <w:gridCol w:w="1977"/>
        <w:gridCol w:w="1723"/>
        <w:gridCol w:w="1537"/>
        <w:gridCol w:w="1985"/>
        <w:gridCol w:w="1842"/>
      </w:tblGrid>
      <w:tr w:rsidR="007556CE" w:rsidRPr="00A7562B" w14:paraId="7E7AFA41" w14:textId="77777777" w:rsidTr="007556CE">
        <w:trPr>
          <w:tblHeade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9C728" w14:textId="77777777" w:rsidR="00A7562B" w:rsidRPr="00A7562B" w:rsidRDefault="00A7562B">
            <w:pPr>
              <w:rPr>
                <w:rFonts w:ascii="Arial" w:hAnsi="Arial" w:cs="Arial"/>
                <w:color w:val="1F1F1F"/>
                <w:sz w:val="26"/>
                <w:szCs w:val="26"/>
              </w:rPr>
            </w:pPr>
            <w:r w:rsidRPr="00A7562B">
              <w:rPr>
                <w:rStyle w:val="Fuerte"/>
                <w:rFonts w:ascii="Arial" w:hAnsi="Arial" w:cs="Arial"/>
                <w:color w:val="1F1F1F"/>
                <w:sz w:val="26"/>
                <w:szCs w:val="26"/>
                <w:bdr w:val="none" w:sz="0" w:space="0" w:color="auto" w:frame="1"/>
              </w:rPr>
              <w:t>Fecha de Vencimiento</w:t>
            </w:r>
          </w:p>
        </w:tc>
        <w:tc>
          <w:tcPr>
            <w:tcW w:w="16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A325B" w14:textId="053A0742" w:rsidR="00A7562B" w:rsidRPr="00A7562B" w:rsidRDefault="00A7562B">
            <w:pPr>
              <w:rPr>
                <w:rFonts w:ascii="Arial" w:hAnsi="Arial" w:cs="Arial"/>
                <w:color w:val="1F1F1F"/>
                <w:sz w:val="26"/>
                <w:szCs w:val="26"/>
              </w:rPr>
            </w:pPr>
            <w:r w:rsidRPr="00A7562B">
              <w:rPr>
                <w:rStyle w:val="Fuerte"/>
                <w:rFonts w:ascii="Arial" w:hAnsi="Arial" w:cs="Arial"/>
                <w:color w:val="1F1F1F"/>
                <w:sz w:val="26"/>
                <w:szCs w:val="26"/>
                <w:bdr w:val="none" w:sz="0" w:space="0" w:color="auto" w:frame="1"/>
              </w:rPr>
              <w:t>Soporte Institucional</w:t>
            </w:r>
          </w:p>
        </w:tc>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AAB66" w14:textId="725255E1" w:rsidR="00A7562B" w:rsidRPr="00A7562B" w:rsidRDefault="00A7562B">
            <w:pPr>
              <w:rPr>
                <w:rFonts w:ascii="Arial" w:hAnsi="Arial" w:cs="Arial"/>
                <w:color w:val="1F1F1F"/>
                <w:sz w:val="26"/>
                <w:szCs w:val="26"/>
              </w:rPr>
            </w:pPr>
            <w:r w:rsidRPr="00A7562B">
              <w:rPr>
                <w:rStyle w:val="Fuerte"/>
                <w:rFonts w:ascii="Arial" w:hAnsi="Arial" w:cs="Arial"/>
                <w:color w:val="1F1F1F"/>
                <w:sz w:val="26"/>
                <w:szCs w:val="26"/>
                <w:bdr w:val="none" w:sz="0" w:space="0" w:color="auto" w:frame="1"/>
              </w:rPr>
              <w:t>Precio Objetivo</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E0F77" w14:textId="67A4C0AE" w:rsidR="00A7562B" w:rsidRPr="00A7562B" w:rsidRDefault="00A7562B">
            <w:pPr>
              <w:rPr>
                <w:rFonts w:ascii="Arial" w:hAnsi="Arial" w:cs="Arial"/>
                <w:color w:val="1F1F1F"/>
                <w:sz w:val="26"/>
                <w:szCs w:val="26"/>
              </w:rPr>
            </w:pPr>
            <w:r w:rsidRPr="00A7562B">
              <w:rPr>
                <w:rStyle w:val="Fuerte"/>
                <w:rFonts w:ascii="Arial" w:hAnsi="Arial" w:cs="Arial"/>
                <w:color w:val="1F1F1F"/>
                <w:sz w:val="26"/>
                <w:szCs w:val="26"/>
                <w:bdr w:val="none" w:sz="0" w:space="0" w:color="auto" w:frame="1"/>
              </w:rPr>
              <w:t>Resistencia</w:t>
            </w:r>
          </w:p>
        </w:tc>
        <w:tc>
          <w:tcPr>
            <w:tcW w:w="17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436E7" w14:textId="77777777" w:rsidR="00A7562B" w:rsidRPr="00A7562B" w:rsidRDefault="00A7562B">
            <w:pPr>
              <w:rPr>
                <w:rFonts w:ascii="Arial" w:hAnsi="Arial" w:cs="Arial"/>
                <w:color w:val="1F1F1F"/>
                <w:sz w:val="26"/>
                <w:szCs w:val="26"/>
              </w:rPr>
            </w:pPr>
            <w:r w:rsidRPr="00A7562B">
              <w:rPr>
                <w:rStyle w:val="Fuerte"/>
                <w:rFonts w:ascii="Arial" w:hAnsi="Arial" w:cs="Arial"/>
                <w:color w:val="1F1F1F"/>
                <w:sz w:val="26"/>
                <w:szCs w:val="26"/>
                <w:bdr w:val="none" w:sz="0" w:space="0" w:color="auto" w:frame="1"/>
              </w:rPr>
              <w:t>Volatilidad Implícita</w:t>
            </w:r>
          </w:p>
        </w:tc>
      </w:tr>
      <w:tr w:rsidR="007556CE" w:rsidRPr="00A7562B" w14:paraId="5DBDFAA7" w14:textId="77777777" w:rsidTr="007556CE">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F949C" w14:textId="77777777" w:rsidR="00A7562B" w:rsidRPr="00A7562B" w:rsidRDefault="00A7562B">
            <w:pPr>
              <w:rPr>
                <w:rFonts w:ascii="Arial" w:hAnsi="Arial" w:cs="Arial"/>
                <w:color w:val="1F1F1F"/>
                <w:sz w:val="26"/>
                <w:szCs w:val="26"/>
              </w:rPr>
            </w:pPr>
            <w:r w:rsidRPr="00A7562B">
              <w:rPr>
                <w:rFonts w:ascii="Arial" w:hAnsi="Arial" w:cs="Arial"/>
                <w:b/>
                <w:bCs/>
                <w:color w:val="1F1F1F"/>
                <w:sz w:val="26"/>
                <w:szCs w:val="26"/>
                <w:bdr w:val="none" w:sz="0" w:space="0" w:color="auto" w:frame="1"/>
              </w:rPr>
              <w:t>Marzo 20, 2026</w:t>
            </w:r>
          </w:p>
        </w:tc>
        <w:tc>
          <w:tcPr>
            <w:tcW w:w="16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50E65" w14:textId="25D377F1" w:rsidR="00A7562B" w:rsidRPr="00A7562B" w:rsidRDefault="00A7562B">
            <w:pPr>
              <w:rPr>
                <w:rFonts w:ascii="Arial" w:hAnsi="Arial" w:cs="Arial"/>
                <w:color w:val="1F1F1F"/>
                <w:sz w:val="26"/>
                <w:szCs w:val="26"/>
              </w:rPr>
            </w:pPr>
            <w:r w:rsidRPr="00A7562B">
              <w:rPr>
                <w:rFonts w:ascii="Arial" w:hAnsi="Arial" w:cs="Arial"/>
                <w:b/>
                <w:bCs/>
                <w:color w:val="1F1F1F"/>
                <w:sz w:val="26"/>
                <w:szCs w:val="26"/>
                <w:bdr w:val="none" w:sz="0" w:space="0" w:color="auto" w:frame="1"/>
              </w:rPr>
              <w:t>$6</w:t>
            </w:r>
            <w:r w:rsidR="007E7D3E">
              <w:rPr>
                <w:rFonts w:ascii="Arial" w:hAnsi="Arial" w:cs="Arial"/>
                <w:b/>
                <w:bCs/>
                <w:color w:val="1F1F1F"/>
                <w:sz w:val="26"/>
                <w:szCs w:val="26"/>
                <w:bdr w:val="none" w:sz="0" w:space="0" w:color="auto" w:frame="1"/>
              </w:rPr>
              <w:t>00</w:t>
            </w:r>
            <w:r w:rsidRPr="00A7562B">
              <w:rPr>
                <w:rFonts w:ascii="Arial" w:hAnsi="Arial" w:cs="Arial"/>
                <w:b/>
                <w:bCs/>
                <w:color w:val="1F1F1F"/>
                <w:sz w:val="26"/>
                <w:szCs w:val="26"/>
                <w:bdr w:val="none" w:sz="0" w:space="0" w:color="auto" w:frame="1"/>
              </w:rPr>
              <w:t>.00</w:t>
            </w:r>
          </w:p>
        </w:tc>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61DD8" w14:textId="24B01AFE" w:rsidR="00A7562B" w:rsidRPr="00A7562B" w:rsidRDefault="00A7562B">
            <w:pPr>
              <w:rPr>
                <w:rFonts w:ascii="Arial" w:hAnsi="Arial" w:cs="Arial"/>
                <w:color w:val="1F1F1F"/>
                <w:sz w:val="26"/>
                <w:szCs w:val="26"/>
              </w:rPr>
            </w:pPr>
            <w:r w:rsidRPr="00A7562B">
              <w:rPr>
                <w:rFonts w:ascii="Arial" w:hAnsi="Arial" w:cs="Arial"/>
                <w:b/>
                <w:bCs/>
                <w:color w:val="1F1F1F"/>
                <w:sz w:val="26"/>
                <w:szCs w:val="26"/>
                <w:bdr w:val="none" w:sz="0" w:space="0" w:color="auto" w:frame="1"/>
              </w:rPr>
              <w:t>$</w:t>
            </w:r>
            <w:r w:rsidR="007556CE">
              <w:rPr>
                <w:rFonts w:ascii="Arial" w:hAnsi="Arial" w:cs="Arial"/>
                <w:b/>
                <w:bCs/>
                <w:color w:val="1F1F1F"/>
                <w:sz w:val="26"/>
                <w:szCs w:val="26"/>
                <w:bdr w:val="none" w:sz="0" w:space="0" w:color="auto" w:frame="1"/>
              </w:rPr>
              <w:t>700</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3C9B4" w14:textId="77777777" w:rsidR="00A7562B" w:rsidRPr="00A7562B" w:rsidRDefault="00A7562B">
            <w:pPr>
              <w:rPr>
                <w:rFonts w:ascii="Arial" w:hAnsi="Arial" w:cs="Arial"/>
                <w:color w:val="1F1F1F"/>
                <w:sz w:val="26"/>
                <w:szCs w:val="26"/>
              </w:rPr>
            </w:pPr>
            <w:r w:rsidRPr="00A7562B">
              <w:rPr>
                <w:rFonts w:ascii="Arial" w:hAnsi="Arial" w:cs="Arial"/>
                <w:b/>
                <w:bCs/>
                <w:color w:val="1F1F1F"/>
                <w:sz w:val="26"/>
                <w:szCs w:val="26"/>
                <w:bdr w:val="none" w:sz="0" w:space="0" w:color="auto" w:frame="1"/>
              </w:rPr>
              <w:t>$720.00</w:t>
            </w:r>
          </w:p>
        </w:tc>
        <w:tc>
          <w:tcPr>
            <w:tcW w:w="17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DB6E4" w14:textId="77777777" w:rsidR="00A7562B" w:rsidRPr="00A7562B" w:rsidRDefault="00A7562B">
            <w:pPr>
              <w:rPr>
                <w:rFonts w:ascii="Arial" w:hAnsi="Arial" w:cs="Arial"/>
                <w:color w:val="1F1F1F"/>
                <w:sz w:val="26"/>
                <w:szCs w:val="26"/>
              </w:rPr>
            </w:pPr>
            <w:r w:rsidRPr="00A7562B">
              <w:rPr>
                <w:rFonts w:ascii="Arial" w:hAnsi="Arial" w:cs="Arial"/>
                <w:color w:val="1F1F1F"/>
                <w:sz w:val="26"/>
                <w:szCs w:val="26"/>
                <w:bdr w:val="none" w:sz="0" w:space="0" w:color="auto" w:frame="1"/>
              </w:rPr>
              <w:t>20.59%</w:t>
            </w:r>
          </w:p>
        </w:tc>
      </w:tr>
      <w:tr w:rsidR="007556CE" w:rsidRPr="00A7562B" w14:paraId="35AD3C1E" w14:textId="77777777" w:rsidTr="007556CE">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5D0DA" w14:textId="77777777" w:rsidR="00A7562B" w:rsidRPr="00A7562B" w:rsidRDefault="00A7562B">
            <w:pPr>
              <w:rPr>
                <w:rFonts w:ascii="Arial" w:hAnsi="Arial" w:cs="Arial"/>
                <w:color w:val="1F1F1F"/>
                <w:sz w:val="26"/>
                <w:szCs w:val="26"/>
              </w:rPr>
            </w:pPr>
            <w:r w:rsidRPr="00A7562B">
              <w:rPr>
                <w:rFonts w:ascii="Arial" w:hAnsi="Arial" w:cs="Arial"/>
                <w:b/>
                <w:bCs/>
                <w:color w:val="1F1F1F"/>
                <w:sz w:val="26"/>
                <w:szCs w:val="26"/>
                <w:bdr w:val="none" w:sz="0" w:space="0" w:color="auto" w:frame="1"/>
              </w:rPr>
              <w:t>Abril 17, 2026</w:t>
            </w:r>
          </w:p>
        </w:tc>
        <w:tc>
          <w:tcPr>
            <w:tcW w:w="16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A2285" w14:textId="6653F982" w:rsidR="00A7562B" w:rsidRPr="00A7562B" w:rsidRDefault="00A7562B">
            <w:pPr>
              <w:rPr>
                <w:rFonts w:ascii="Arial" w:hAnsi="Arial" w:cs="Arial"/>
                <w:color w:val="1F1F1F"/>
                <w:sz w:val="26"/>
                <w:szCs w:val="26"/>
              </w:rPr>
            </w:pPr>
            <w:r w:rsidRPr="00A7562B">
              <w:rPr>
                <w:rFonts w:ascii="Arial" w:hAnsi="Arial" w:cs="Arial"/>
                <w:b/>
                <w:bCs/>
                <w:color w:val="1F1F1F"/>
                <w:sz w:val="26"/>
                <w:szCs w:val="26"/>
                <w:bdr w:val="none" w:sz="0" w:space="0" w:color="auto" w:frame="1"/>
              </w:rPr>
              <w:t>$6</w:t>
            </w:r>
            <w:r w:rsidR="007E7D3E">
              <w:rPr>
                <w:rFonts w:ascii="Arial" w:hAnsi="Arial" w:cs="Arial"/>
                <w:b/>
                <w:bCs/>
                <w:color w:val="1F1F1F"/>
                <w:sz w:val="26"/>
                <w:szCs w:val="26"/>
                <w:bdr w:val="none" w:sz="0" w:space="0" w:color="auto" w:frame="1"/>
              </w:rPr>
              <w:t>1</w:t>
            </w:r>
            <w:r w:rsidR="00F50727">
              <w:rPr>
                <w:rFonts w:ascii="Arial" w:hAnsi="Arial" w:cs="Arial"/>
                <w:b/>
                <w:bCs/>
                <w:color w:val="1F1F1F"/>
                <w:sz w:val="26"/>
                <w:szCs w:val="26"/>
                <w:bdr w:val="none" w:sz="0" w:space="0" w:color="auto" w:frame="1"/>
              </w:rPr>
              <w:t>0</w:t>
            </w:r>
            <w:r w:rsidRPr="00A7562B">
              <w:rPr>
                <w:rFonts w:ascii="Arial" w:hAnsi="Arial" w:cs="Arial"/>
                <w:b/>
                <w:bCs/>
                <w:color w:val="1F1F1F"/>
                <w:sz w:val="26"/>
                <w:szCs w:val="26"/>
                <w:bdr w:val="none" w:sz="0" w:space="0" w:color="auto" w:frame="1"/>
              </w:rPr>
              <w:t>.00</w:t>
            </w:r>
          </w:p>
        </w:tc>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B34A9" w14:textId="5C6AA200" w:rsidR="00A7562B" w:rsidRPr="00A7562B" w:rsidRDefault="00A7562B">
            <w:pPr>
              <w:rPr>
                <w:rFonts w:ascii="Arial" w:hAnsi="Arial" w:cs="Arial"/>
                <w:color w:val="1F1F1F"/>
                <w:sz w:val="26"/>
                <w:szCs w:val="26"/>
              </w:rPr>
            </w:pPr>
            <w:r w:rsidRPr="00A7562B">
              <w:rPr>
                <w:rFonts w:ascii="Arial" w:hAnsi="Arial" w:cs="Arial"/>
                <w:b/>
                <w:bCs/>
                <w:color w:val="1F1F1F"/>
                <w:sz w:val="26"/>
                <w:szCs w:val="26"/>
                <w:bdr w:val="none" w:sz="0" w:space="0" w:color="auto" w:frame="1"/>
              </w:rPr>
              <w:t>$</w:t>
            </w:r>
            <w:r w:rsidR="007556CE">
              <w:rPr>
                <w:rFonts w:ascii="Arial" w:hAnsi="Arial" w:cs="Arial"/>
                <w:b/>
                <w:bCs/>
                <w:color w:val="1F1F1F"/>
                <w:sz w:val="26"/>
                <w:szCs w:val="26"/>
                <w:bdr w:val="none" w:sz="0" w:space="0" w:color="auto" w:frame="1"/>
              </w:rPr>
              <w:t>710</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02A6A" w14:textId="77777777" w:rsidR="00A7562B" w:rsidRPr="00A7562B" w:rsidRDefault="00A7562B">
            <w:pPr>
              <w:rPr>
                <w:rFonts w:ascii="Arial" w:hAnsi="Arial" w:cs="Arial"/>
                <w:color w:val="1F1F1F"/>
                <w:sz w:val="26"/>
                <w:szCs w:val="26"/>
              </w:rPr>
            </w:pPr>
            <w:r w:rsidRPr="00A7562B">
              <w:rPr>
                <w:rFonts w:ascii="Arial" w:hAnsi="Arial" w:cs="Arial"/>
                <w:b/>
                <w:bCs/>
                <w:color w:val="1F1F1F"/>
                <w:sz w:val="26"/>
                <w:szCs w:val="26"/>
                <w:bdr w:val="none" w:sz="0" w:space="0" w:color="auto" w:frame="1"/>
              </w:rPr>
              <w:t>$750.00</w:t>
            </w:r>
          </w:p>
        </w:tc>
        <w:tc>
          <w:tcPr>
            <w:tcW w:w="17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7D117" w14:textId="77777777" w:rsidR="00A7562B" w:rsidRPr="00A7562B" w:rsidRDefault="00A7562B">
            <w:pPr>
              <w:rPr>
                <w:rFonts w:ascii="Arial" w:hAnsi="Arial" w:cs="Arial"/>
                <w:color w:val="1F1F1F"/>
                <w:sz w:val="26"/>
                <w:szCs w:val="26"/>
              </w:rPr>
            </w:pPr>
            <w:r w:rsidRPr="00A7562B">
              <w:rPr>
                <w:rFonts w:ascii="Arial" w:hAnsi="Arial" w:cs="Arial"/>
                <w:color w:val="1F1F1F"/>
                <w:sz w:val="26"/>
                <w:szCs w:val="26"/>
                <w:bdr w:val="none" w:sz="0" w:space="0" w:color="auto" w:frame="1"/>
              </w:rPr>
              <w:t>17.70%</w:t>
            </w:r>
          </w:p>
        </w:tc>
      </w:tr>
    </w:tbl>
    <w:p w14:paraId="51E81FCB" w14:textId="77777777" w:rsidR="00A7562B" w:rsidRPr="00A7562B" w:rsidRDefault="00A7562B" w:rsidP="00A7562B">
      <w:pPr>
        <w:pStyle w:val="Ttulo2"/>
        <w:spacing w:before="0" w:after="120"/>
        <w:rPr>
          <w:rFonts w:ascii="Arial" w:hAnsi="Arial" w:cs="Arial"/>
          <w:b/>
          <w:bCs/>
          <w:color w:val="1F1F1F"/>
          <w:sz w:val="26"/>
          <w:szCs w:val="26"/>
        </w:rPr>
      </w:pPr>
      <w:r w:rsidRPr="00A7562B">
        <w:rPr>
          <w:rFonts w:ascii="Arial" w:hAnsi="Arial" w:cs="Arial"/>
          <w:b/>
          <w:bCs/>
          <w:color w:val="1F1F1F"/>
          <w:sz w:val="26"/>
          <w:szCs w:val="26"/>
        </w:rPr>
        <w:lastRenderedPageBreak/>
        <w:t>3. Análisis de la Curva de Probabilidad</w:t>
      </w:r>
    </w:p>
    <w:p w14:paraId="511880DE" w14:textId="77777777" w:rsidR="00A7562B" w:rsidRPr="00A7562B" w:rsidRDefault="00A7562B" w:rsidP="00A7562B">
      <w:pPr>
        <w:pStyle w:val="NormalWeb"/>
        <w:numPr>
          <w:ilvl w:val="0"/>
          <w:numId w:val="2"/>
        </w:numPr>
        <w:spacing w:before="0" w:beforeAutospacing="0" w:after="0" w:afterAutospacing="0"/>
        <w:rPr>
          <w:rFonts w:ascii="Arial" w:hAnsi="Arial" w:cs="Arial"/>
          <w:color w:val="1F1F1F"/>
          <w:sz w:val="26"/>
          <w:szCs w:val="26"/>
        </w:rPr>
      </w:pPr>
      <w:r w:rsidRPr="00A7562B">
        <w:rPr>
          <w:rFonts w:ascii="Arial" w:hAnsi="Arial" w:cs="Arial"/>
          <w:b/>
          <w:bCs/>
          <w:color w:val="1F1F1F"/>
          <w:sz w:val="26"/>
          <w:szCs w:val="26"/>
          <w:bdr w:val="none" w:sz="0" w:space="0" w:color="auto" w:frame="1"/>
        </w:rPr>
        <w:t>Zona de Máximo Dolor (Target):</w:t>
      </w:r>
      <w:r w:rsidRPr="00A7562B">
        <w:rPr>
          <w:rFonts w:ascii="Arial" w:hAnsi="Arial" w:cs="Arial"/>
          <w:color w:val="1F1F1F"/>
          <w:sz w:val="26"/>
          <w:szCs w:val="26"/>
        </w:rPr>
        <w:t xml:space="preserve"> El mercado gravita hacia los </w:t>
      </w:r>
      <w:r w:rsidRPr="00A7562B">
        <w:rPr>
          <w:rFonts w:ascii="Arial" w:hAnsi="Arial" w:cs="Arial"/>
          <w:b/>
          <w:bCs/>
          <w:color w:val="1F1F1F"/>
          <w:sz w:val="26"/>
          <w:szCs w:val="26"/>
          <w:bdr w:val="none" w:sz="0" w:space="0" w:color="auto" w:frame="1"/>
        </w:rPr>
        <w:t>$685</w:t>
      </w:r>
      <w:r w:rsidRPr="00A7562B">
        <w:rPr>
          <w:rFonts w:ascii="Arial" w:hAnsi="Arial" w:cs="Arial"/>
          <w:color w:val="1F1F1F"/>
          <w:sz w:val="26"/>
          <w:szCs w:val="26"/>
        </w:rPr>
        <w:t>. Este es el punto donde la probabilidad es máxima (~2.45% por dólar), lo que indica un consenso sobre el valor justo a futuro.</w:t>
      </w:r>
    </w:p>
    <w:p w14:paraId="3414A17C" w14:textId="77777777" w:rsidR="00A7562B" w:rsidRPr="00A7562B" w:rsidRDefault="00A7562B" w:rsidP="00A7562B">
      <w:pPr>
        <w:pStyle w:val="NormalWeb"/>
        <w:numPr>
          <w:ilvl w:val="0"/>
          <w:numId w:val="2"/>
        </w:numPr>
        <w:spacing w:before="0" w:beforeAutospacing="0" w:after="0" w:afterAutospacing="0"/>
        <w:rPr>
          <w:rFonts w:ascii="Arial" w:hAnsi="Arial" w:cs="Arial"/>
          <w:color w:val="1F1F1F"/>
          <w:sz w:val="26"/>
          <w:szCs w:val="26"/>
        </w:rPr>
      </w:pPr>
      <w:r w:rsidRPr="00A7562B">
        <w:rPr>
          <w:rFonts w:ascii="Arial" w:hAnsi="Arial" w:cs="Arial"/>
          <w:b/>
          <w:bCs/>
          <w:color w:val="1F1F1F"/>
          <w:sz w:val="26"/>
          <w:szCs w:val="26"/>
          <w:bdr w:val="none" w:sz="0" w:space="0" w:color="auto" w:frame="1"/>
        </w:rPr>
        <w:t>Muro de Protección (Soporte):</w:t>
      </w:r>
      <w:r w:rsidRPr="00A7562B">
        <w:rPr>
          <w:rFonts w:ascii="Arial" w:hAnsi="Arial" w:cs="Arial"/>
          <w:color w:val="1F1F1F"/>
          <w:sz w:val="26"/>
          <w:szCs w:val="26"/>
        </w:rPr>
        <w:t xml:space="preserve"> Existe una caída drástica en la probabilidad por debajo de los </w:t>
      </w:r>
      <w:r w:rsidRPr="00A7562B">
        <w:rPr>
          <w:rFonts w:ascii="Arial" w:hAnsi="Arial" w:cs="Arial"/>
          <w:b/>
          <w:bCs/>
          <w:color w:val="1F1F1F"/>
          <w:sz w:val="26"/>
          <w:szCs w:val="26"/>
          <w:bdr w:val="none" w:sz="0" w:space="0" w:color="auto" w:frame="1"/>
        </w:rPr>
        <w:t>$600 - $610</w:t>
      </w:r>
      <w:r w:rsidRPr="00A7562B">
        <w:rPr>
          <w:rFonts w:ascii="Arial" w:hAnsi="Arial" w:cs="Arial"/>
          <w:color w:val="1F1F1F"/>
          <w:sz w:val="26"/>
          <w:szCs w:val="26"/>
        </w:rPr>
        <w:t>. Institucionalmente, esto significa que el costo de protegerse contra una caída mayor es muy alto, lo que suele actuar como un suelo psicológico y técnico "de acero".</w:t>
      </w:r>
    </w:p>
    <w:p w14:paraId="1683EDE9" w14:textId="77777777" w:rsidR="00A7562B" w:rsidRDefault="00A7562B" w:rsidP="00A7562B">
      <w:pPr>
        <w:pStyle w:val="NormalWeb"/>
        <w:numPr>
          <w:ilvl w:val="0"/>
          <w:numId w:val="2"/>
        </w:numPr>
        <w:spacing w:before="0" w:beforeAutospacing="0" w:after="0" w:afterAutospacing="0"/>
        <w:rPr>
          <w:rFonts w:ascii="Arial" w:hAnsi="Arial" w:cs="Arial"/>
          <w:color w:val="1F1F1F"/>
          <w:sz w:val="26"/>
          <w:szCs w:val="26"/>
        </w:rPr>
      </w:pPr>
      <w:r w:rsidRPr="00A7562B">
        <w:rPr>
          <w:rFonts w:ascii="Arial" w:hAnsi="Arial" w:cs="Arial"/>
          <w:b/>
          <w:bCs/>
          <w:color w:val="1F1F1F"/>
          <w:sz w:val="26"/>
          <w:szCs w:val="26"/>
          <w:bdr w:val="none" w:sz="0" w:space="0" w:color="auto" w:frame="1"/>
        </w:rPr>
        <w:t>Techo de Cristal (Resistencia):</w:t>
      </w:r>
      <w:r w:rsidRPr="00A7562B">
        <w:rPr>
          <w:rFonts w:ascii="Arial" w:hAnsi="Arial" w:cs="Arial"/>
          <w:color w:val="1F1F1F"/>
          <w:sz w:val="26"/>
          <w:szCs w:val="26"/>
        </w:rPr>
        <w:t xml:space="preserve"> Superar los </w:t>
      </w:r>
      <w:r w:rsidRPr="00A7562B">
        <w:rPr>
          <w:rFonts w:ascii="Arial" w:hAnsi="Arial" w:cs="Arial"/>
          <w:b/>
          <w:bCs/>
          <w:color w:val="1F1F1F"/>
          <w:sz w:val="26"/>
          <w:szCs w:val="26"/>
          <w:bdr w:val="none" w:sz="0" w:space="0" w:color="auto" w:frame="1"/>
        </w:rPr>
        <w:t>$720 - $750</w:t>
      </w:r>
      <w:r w:rsidRPr="00A7562B">
        <w:rPr>
          <w:rFonts w:ascii="Arial" w:hAnsi="Arial" w:cs="Arial"/>
          <w:color w:val="1F1F1F"/>
          <w:sz w:val="26"/>
          <w:szCs w:val="26"/>
        </w:rPr>
        <w:t xml:space="preserve"> se considera un evento de baja probabilidad (&lt; 0.50%). Las instituciones suelen vender opciones en estos niveles para generar ingresos adicionales (Yield Enhancement).</w:t>
      </w:r>
    </w:p>
    <w:p w14:paraId="622DED01" w14:textId="77777777" w:rsidR="00A7562B" w:rsidRPr="00A7562B" w:rsidRDefault="00A7562B" w:rsidP="00A7562B">
      <w:pPr>
        <w:pStyle w:val="NormalWeb"/>
        <w:spacing w:before="0" w:beforeAutospacing="0" w:after="0" w:afterAutospacing="0"/>
        <w:ind w:left="360"/>
        <w:rPr>
          <w:rFonts w:ascii="Arial" w:hAnsi="Arial" w:cs="Arial"/>
          <w:color w:val="1F1F1F"/>
          <w:sz w:val="26"/>
          <w:szCs w:val="26"/>
        </w:rPr>
      </w:pPr>
    </w:p>
    <w:p w14:paraId="77598426" w14:textId="77777777" w:rsidR="00A7562B" w:rsidRPr="00A7562B" w:rsidRDefault="00A7562B" w:rsidP="00A7562B">
      <w:pPr>
        <w:pStyle w:val="Ttulo2"/>
        <w:spacing w:before="0" w:after="120"/>
        <w:rPr>
          <w:rFonts w:ascii="Arial" w:hAnsi="Arial" w:cs="Arial"/>
          <w:b/>
          <w:bCs/>
          <w:color w:val="1F1F1F"/>
          <w:sz w:val="26"/>
          <w:szCs w:val="26"/>
        </w:rPr>
      </w:pPr>
      <w:r w:rsidRPr="00A7562B">
        <w:rPr>
          <w:rFonts w:ascii="Arial" w:hAnsi="Arial" w:cs="Arial"/>
          <w:b/>
          <w:bCs/>
          <w:color w:val="1F1F1F"/>
          <w:sz w:val="26"/>
          <w:szCs w:val="26"/>
        </w:rPr>
        <w:t>4. Conclusión Táctica</w:t>
      </w:r>
    </w:p>
    <w:p w14:paraId="402FA482" w14:textId="77777777" w:rsidR="00A7562B" w:rsidRDefault="00A7562B" w:rsidP="00A7562B">
      <w:pPr>
        <w:pStyle w:val="NormalWeb"/>
        <w:spacing w:before="0" w:beforeAutospacing="0" w:after="0" w:afterAutospacing="0"/>
        <w:rPr>
          <w:rFonts w:ascii="Arial" w:hAnsi="Arial" w:cs="Arial"/>
          <w:color w:val="1F1F1F"/>
          <w:sz w:val="26"/>
          <w:szCs w:val="26"/>
        </w:rPr>
      </w:pPr>
      <w:r w:rsidRPr="00A7562B">
        <w:rPr>
          <w:rFonts w:ascii="Arial" w:hAnsi="Arial" w:cs="Arial"/>
          <w:color w:val="1F1F1F"/>
          <w:sz w:val="26"/>
          <w:szCs w:val="26"/>
        </w:rPr>
        <w:t xml:space="preserve">La estrategia óptima para este perfil es el </w:t>
      </w:r>
      <w:r w:rsidRPr="00A7562B">
        <w:rPr>
          <w:rFonts w:ascii="Arial" w:hAnsi="Arial" w:cs="Arial"/>
          <w:b/>
          <w:bCs/>
          <w:color w:val="1F1F1F"/>
          <w:sz w:val="26"/>
          <w:szCs w:val="26"/>
          <w:bdr w:val="none" w:sz="0" w:space="0" w:color="auto" w:frame="1"/>
        </w:rPr>
        <w:t>posicionamiento constructivo</w:t>
      </w:r>
      <w:r w:rsidRPr="00A7562B">
        <w:rPr>
          <w:rFonts w:ascii="Arial" w:hAnsi="Arial" w:cs="Arial"/>
          <w:color w:val="1F1F1F"/>
          <w:sz w:val="26"/>
          <w:szCs w:val="26"/>
        </w:rPr>
        <w:t>. Mientras el SPY se mantenga por encima de los $610, la tendencia de largo plazo dictada por las opciones es de apreciación hacia el objetivo de los $685.</w:t>
      </w:r>
    </w:p>
    <w:p w14:paraId="22E54C52" w14:textId="77777777" w:rsidR="007556CE" w:rsidRPr="00A7562B" w:rsidRDefault="007556CE" w:rsidP="00A7562B">
      <w:pPr>
        <w:pStyle w:val="NormalWeb"/>
        <w:spacing w:before="0" w:beforeAutospacing="0" w:after="0" w:afterAutospacing="0"/>
        <w:rPr>
          <w:rFonts w:ascii="Arial" w:hAnsi="Arial" w:cs="Arial"/>
          <w:color w:val="1F1F1F"/>
          <w:sz w:val="26"/>
          <w:szCs w:val="26"/>
        </w:rPr>
      </w:pPr>
    </w:p>
    <w:p w14:paraId="30CDF881" w14:textId="09212FE5" w:rsidR="00A7562B" w:rsidRPr="007556CE" w:rsidRDefault="00A7562B" w:rsidP="00A7562B">
      <w:pPr>
        <w:pStyle w:val="Ttulo3"/>
        <w:spacing w:before="0" w:after="120"/>
        <w:rPr>
          <w:rFonts w:ascii="Arial" w:hAnsi="Arial" w:cs="Arial"/>
          <w:i/>
          <w:iCs/>
          <w:color w:val="1F1F1F"/>
          <w:sz w:val="26"/>
          <w:szCs w:val="26"/>
        </w:rPr>
      </w:pPr>
      <w:r w:rsidRPr="007556CE">
        <w:rPr>
          <w:rFonts w:ascii="Arial" w:hAnsi="Arial" w:cs="Arial"/>
          <w:i/>
          <w:iCs/>
          <w:color w:val="1F1F1F"/>
          <w:sz w:val="26"/>
          <w:szCs w:val="26"/>
        </w:rPr>
        <w:t>Descargo de Responsabilidad (Disclaimer)</w:t>
      </w:r>
    </w:p>
    <w:p w14:paraId="68C32F9F" w14:textId="7FE4E2CE" w:rsidR="00A7562B" w:rsidRPr="00A7562B" w:rsidRDefault="00A7562B" w:rsidP="00A7562B">
      <w:pPr>
        <w:pStyle w:val="NormalWeb"/>
        <w:spacing w:before="0" w:beforeAutospacing="0" w:after="0" w:afterAutospacing="0"/>
        <w:rPr>
          <w:rFonts w:ascii="Arial" w:hAnsi="Arial" w:cs="Arial"/>
          <w:color w:val="1F1F1F"/>
          <w:sz w:val="26"/>
          <w:szCs w:val="26"/>
        </w:rPr>
      </w:pPr>
      <w:r w:rsidRPr="00A7562B">
        <w:rPr>
          <w:rFonts w:ascii="Arial" w:hAnsi="Arial" w:cs="Arial"/>
          <w:i/>
          <w:iCs/>
          <w:color w:val="1F1F1F"/>
          <w:sz w:val="26"/>
          <w:szCs w:val="26"/>
          <w:bdr w:val="none" w:sz="0" w:space="0" w:color="auto" w:frame="1"/>
        </w:rPr>
        <w:t>Este informe se proporciona únicamente con fines informativo</w:t>
      </w:r>
      <w:r w:rsidR="007556CE">
        <w:rPr>
          <w:rFonts w:ascii="Arial" w:hAnsi="Arial" w:cs="Arial"/>
          <w:i/>
          <w:iCs/>
          <w:color w:val="1F1F1F"/>
          <w:sz w:val="26"/>
          <w:szCs w:val="26"/>
          <w:bdr w:val="none" w:sz="0" w:space="0" w:color="auto" w:frame="1"/>
        </w:rPr>
        <w:t>s. Es un enfoque basado en opciones c</w:t>
      </w:r>
      <w:r w:rsidRPr="00A7562B">
        <w:rPr>
          <w:rFonts w:ascii="Arial" w:hAnsi="Arial" w:cs="Arial"/>
          <w:i/>
          <w:iCs/>
          <w:color w:val="1F1F1F"/>
          <w:sz w:val="26"/>
          <w:szCs w:val="26"/>
          <w:bdr w:val="none" w:sz="0" w:space="0" w:color="auto" w:frame="1"/>
        </w:rPr>
        <w:t>onstituye</w:t>
      </w:r>
      <w:r w:rsidR="007556CE">
        <w:rPr>
          <w:rFonts w:ascii="Arial" w:hAnsi="Arial" w:cs="Arial"/>
          <w:i/>
          <w:iCs/>
          <w:color w:val="1F1F1F"/>
          <w:sz w:val="26"/>
          <w:szCs w:val="26"/>
          <w:bdr w:val="none" w:sz="0" w:space="0" w:color="auto" w:frame="1"/>
        </w:rPr>
        <w:t>ndo</w:t>
      </w:r>
      <w:r w:rsidRPr="00A7562B">
        <w:rPr>
          <w:rFonts w:ascii="Arial" w:hAnsi="Arial" w:cs="Arial"/>
          <w:i/>
          <w:iCs/>
          <w:color w:val="1F1F1F"/>
          <w:sz w:val="26"/>
          <w:szCs w:val="26"/>
          <w:bdr w:val="none" w:sz="0" w:space="0" w:color="auto" w:frame="1"/>
        </w:rPr>
        <w:t xml:space="preserve"> una recomendación de inversión</w:t>
      </w:r>
      <w:r w:rsidR="007556CE">
        <w:rPr>
          <w:rFonts w:ascii="Arial" w:hAnsi="Arial" w:cs="Arial"/>
          <w:i/>
          <w:iCs/>
          <w:color w:val="1F1F1F"/>
          <w:sz w:val="26"/>
          <w:szCs w:val="26"/>
          <w:bdr w:val="none" w:sz="0" w:space="0" w:color="auto" w:frame="1"/>
        </w:rPr>
        <w:t xml:space="preserve"> y no </w:t>
      </w:r>
      <w:r w:rsidRPr="00A7562B">
        <w:rPr>
          <w:rFonts w:ascii="Arial" w:hAnsi="Arial" w:cs="Arial"/>
          <w:i/>
          <w:iCs/>
          <w:color w:val="1F1F1F"/>
          <w:sz w:val="26"/>
          <w:szCs w:val="26"/>
          <w:bdr w:val="none" w:sz="0" w:space="0" w:color="auto" w:frame="1"/>
        </w:rPr>
        <w:t>asesoramiento financiero, ni una oferta para comprar o vender valores. El comercio de opciones conlleva un riesgo significativo y no es adecuado para todos los inversores. La información se basa en datos de mercado actuales que pueden cambiar sin previo aviso.</w:t>
      </w:r>
    </w:p>
    <w:p w14:paraId="4483A22F" w14:textId="7F65271F" w:rsidR="00DA4635" w:rsidRPr="00A7562B" w:rsidRDefault="00DA4635">
      <w:pPr>
        <w:rPr>
          <w:rFonts w:ascii="Arial" w:hAnsi="Arial" w:cs="Arial"/>
          <w:sz w:val="26"/>
          <w:szCs w:val="26"/>
        </w:rPr>
      </w:pPr>
    </w:p>
    <w:p w14:paraId="0065C657" w14:textId="46FDD8A7" w:rsidR="00A7562B" w:rsidRPr="00A7562B" w:rsidRDefault="00A7562B">
      <w:pPr>
        <w:rPr>
          <w:rFonts w:ascii="Arial" w:hAnsi="Arial" w:cs="Arial"/>
          <w:sz w:val="26"/>
          <w:szCs w:val="26"/>
        </w:rPr>
      </w:pPr>
    </w:p>
    <w:sectPr w:rsidR="00A7562B" w:rsidRPr="00A7562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A0AA1"/>
    <w:multiLevelType w:val="multilevel"/>
    <w:tmpl w:val="960C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4172FD"/>
    <w:multiLevelType w:val="multilevel"/>
    <w:tmpl w:val="3948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384743">
    <w:abstractNumId w:val="0"/>
  </w:num>
  <w:num w:numId="2" w16cid:durableId="146476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62B"/>
    <w:rsid w:val="00406E72"/>
    <w:rsid w:val="00504CAB"/>
    <w:rsid w:val="00532637"/>
    <w:rsid w:val="0056341B"/>
    <w:rsid w:val="007556CE"/>
    <w:rsid w:val="007E7D3E"/>
    <w:rsid w:val="00A7562B"/>
    <w:rsid w:val="00DA4635"/>
    <w:rsid w:val="00E0039C"/>
    <w:rsid w:val="00F50727"/>
    <w:rsid w:val="00FF5C0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7738E"/>
  <w15:chartTrackingRefBased/>
  <w15:docId w15:val="{C79B24A4-FFFC-48B8-BFA8-892A2B501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56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756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756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56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56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56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56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56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56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56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756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756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56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56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56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56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56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562B"/>
    <w:rPr>
      <w:rFonts w:eastAsiaTheme="majorEastAsia" w:cstheme="majorBidi"/>
      <w:color w:val="272727" w:themeColor="text1" w:themeTint="D8"/>
    </w:rPr>
  </w:style>
  <w:style w:type="paragraph" w:styleId="Ttulo">
    <w:name w:val="Title"/>
    <w:basedOn w:val="Normal"/>
    <w:next w:val="Normal"/>
    <w:link w:val="TtuloCar"/>
    <w:uiPriority w:val="10"/>
    <w:qFormat/>
    <w:rsid w:val="00A756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56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56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56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562B"/>
    <w:pPr>
      <w:spacing w:before="160"/>
      <w:jc w:val="center"/>
    </w:pPr>
    <w:rPr>
      <w:i/>
      <w:iCs/>
      <w:color w:val="404040" w:themeColor="text1" w:themeTint="BF"/>
    </w:rPr>
  </w:style>
  <w:style w:type="character" w:customStyle="1" w:styleId="CitaCar">
    <w:name w:val="Cita Car"/>
    <w:basedOn w:val="Fuentedeprrafopredeter"/>
    <w:link w:val="Cita"/>
    <w:uiPriority w:val="29"/>
    <w:rsid w:val="00A7562B"/>
    <w:rPr>
      <w:i/>
      <w:iCs/>
      <w:color w:val="404040" w:themeColor="text1" w:themeTint="BF"/>
    </w:rPr>
  </w:style>
  <w:style w:type="paragraph" w:styleId="Prrafodelista">
    <w:name w:val="List Paragraph"/>
    <w:basedOn w:val="Normal"/>
    <w:uiPriority w:val="34"/>
    <w:qFormat/>
    <w:rsid w:val="00A7562B"/>
    <w:pPr>
      <w:ind w:left="720"/>
      <w:contextualSpacing/>
    </w:pPr>
  </w:style>
  <w:style w:type="character" w:styleId="nfasisintenso">
    <w:name w:val="Intense Emphasis"/>
    <w:basedOn w:val="Fuentedeprrafopredeter"/>
    <w:uiPriority w:val="21"/>
    <w:qFormat/>
    <w:rsid w:val="00A7562B"/>
    <w:rPr>
      <w:i/>
      <w:iCs/>
      <w:color w:val="0F4761" w:themeColor="accent1" w:themeShade="BF"/>
    </w:rPr>
  </w:style>
  <w:style w:type="paragraph" w:styleId="Citadestacada">
    <w:name w:val="Intense Quote"/>
    <w:basedOn w:val="Normal"/>
    <w:next w:val="Normal"/>
    <w:link w:val="CitadestacadaCar"/>
    <w:uiPriority w:val="30"/>
    <w:qFormat/>
    <w:rsid w:val="00A756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562B"/>
    <w:rPr>
      <w:i/>
      <w:iCs/>
      <w:color w:val="0F4761" w:themeColor="accent1" w:themeShade="BF"/>
    </w:rPr>
  </w:style>
  <w:style w:type="character" w:styleId="Referenciaintensa">
    <w:name w:val="Intense Reference"/>
    <w:basedOn w:val="Fuentedeprrafopredeter"/>
    <w:uiPriority w:val="32"/>
    <w:qFormat/>
    <w:rsid w:val="00A7562B"/>
    <w:rPr>
      <w:b/>
      <w:bCs/>
      <w:smallCaps/>
      <w:color w:val="0F4761" w:themeColor="accent1" w:themeShade="BF"/>
      <w:spacing w:val="5"/>
    </w:rPr>
  </w:style>
  <w:style w:type="character" w:styleId="Fuerte">
    <w:name w:val="Strong"/>
    <w:basedOn w:val="Fuentedeprrafopredeter"/>
    <w:uiPriority w:val="22"/>
    <w:qFormat/>
    <w:rsid w:val="00A7562B"/>
    <w:rPr>
      <w:b/>
      <w:bCs/>
    </w:rPr>
  </w:style>
  <w:style w:type="paragraph" w:styleId="NormalWeb">
    <w:name w:val="Normal (Web)"/>
    <w:basedOn w:val="Normal"/>
    <w:uiPriority w:val="99"/>
    <w:unhideWhenUsed/>
    <w:rsid w:val="00A7562B"/>
    <w:pPr>
      <w:spacing w:before="100" w:beforeAutospacing="1" w:after="100" w:afterAutospacing="1" w:line="240" w:lineRule="auto"/>
    </w:pPr>
    <w:rPr>
      <w:rFonts w:ascii="Times New Roman" w:eastAsia="Times New Roman" w:hAnsi="Times New Roman" w:cs="Times New Roman"/>
      <w:kern w:val="0"/>
      <w:lang w:eastAsia="es-EC"/>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365</Words>
  <Characters>1974</Characters>
  <Application>Microsoft Office Word</Application>
  <DocSecurity>0</DocSecurity>
  <Lines>70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Montero</dc:creator>
  <cp:keywords/>
  <dc:description/>
  <cp:lastModifiedBy>Daniel  Montero</cp:lastModifiedBy>
  <cp:revision>5</cp:revision>
  <dcterms:created xsi:type="dcterms:W3CDTF">2026-03-04T16:09:00Z</dcterms:created>
  <dcterms:modified xsi:type="dcterms:W3CDTF">2026-03-04T16:36:00Z</dcterms:modified>
</cp:coreProperties>
</file>