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Armenia: Recent Economic Developments and Outlook</w:t>
      </w:r>
    </w:p>
    <w:p>
      <w:pPr>
        <w:pStyle w:val="Heading1"/>
      </w:pPr>
      <w:r>
        <w:t>GDP growth in 2019 rose</w:t>
      </w:r>
    </w:p>
    <w:p>
      <w:pPr>
        <w:jc w:val="both"/>
      </w:pPr>
      <w:r>
        <w:t>GDP growth rose from 5.2% in 2018 to 7.6% in 2019. On the demand side, private consumption, accounting for 84.5% of GDP, contributed the most with 8.5 percentage points (pp).</w:t>
      </w:r>
      <w:r>
        <w:t xml:space="preserve"> Government expenditure gave 1.4pp.</w:t>
      </w:r>
      <w:r>
        <w:t xml:space="preserve"> Net exports shared 0.8pp.</w:t>
      </w:r>
      <w:r>
        <w:t xml:space="preserve"> On the other hand, gross capital formation cut 3.1pp from growth.</w:t>
      </w:r>
      <w:r>
        <w:t xml:space="preserve"> On the supply side, services, accounting for 54.2% of GDP, contributed the most with 5.4pp.</w:t>
      </w:r>
      <w:r>
        <w:t xml:space="preserve"> Industry (including construction) gave 2.3pp.</w:t>
      </w:r>
      <w:r>
        <w:t xml:space="preserve"> However, agriculture cut 0.6pp from growth.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M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Government expenditure achieved largest gain on the demand side</w:t>
      </w:r>
    </w:p>
    <w:p>
      <w:pPr>
        <w:jc w:val="both"/>
      </w:pPr>
      <w:r>
        <w:t>Government expenditure grew by the biggest margin at 12.5% annual growth.</w:t>
      </w:r>
      <w:r>
        <w:t xml:space="preserve"> Private consumption jumped by 10.3%.</w:t>
      </w:r>
      <w:r>
        <w:t xml:space="preserve"> Net exports increased by 0.9%.</w:t>
      </w:r>
      <w:r>
        <w:t xml:space="preserve"> On the other hand, gross capital formation decreased by 13.8%.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jumped by the largest edge at 10.3% annual growth.</w:t>
      </w:r>
      <w:r>
        <w:t xml:space="preserve"> Industry (including construction) picked up by 9.1%.</w:t>
      </w:r>
      <w:r>
        <w:t xml:space="preserve"> On the other hand, agriculture declined by 4.0%.</w:t>
      </w:r>
    </w:p>
    <w:p>
      <w:pPr>
        <w:pStyle w:val="Heading2"/>
      </w:pPr>
      <w:r>
        <w:t>Unemployment improved; inflation plunged</w:t>
      </w:r>
    </w:p>
    <w:p>
      <w:pPr>
        <w:jc w:val="both"/>
      </w:pPr>
      <w:r>
        <w:t>Unemployment rate improved from 19.0% in 2018 to nan% in 2019. Consequently, inflation plunged from 2.5% to 1.4%. At the end of the year, the central bank set the policy rate at 5.5%.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M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deficit</w:t>
      </w:r>
    </w:p>
    <w:p>
      <w:pPr>
        <w:jc w:val="both"/>
      </w:pPr>
      <w:r>
        <w:t>Current account balance (CAB) recorded a deficit at 7.2% of GDP in 2019. Net trade in goods and services reached USD -1.8 billion. In 2018, CAB posted a deficit at 6.9% of GDP.</w:t>
      </w:r>
    </w:p>
    <w:p>
      <w:pPr>
        <w:jc w:val="both"/>
      </w:pPr>
      <w:r>
        <w:t>Russian Federation is the country's top export destination accounting for 27.2% of total exports in 2019. Other major exports partners include Switzerland (17.5%), Bulgaria (7.9%), China (7.4%), and Iraq (6.8%). Top export commodities are ores, slag and ash, accounting for 25.5% of total exports.</w:t>
      </w:r>
    </w:p>
    <w:p>
      <w:pPr>
        <w:jc w:val="both"/>
      </w:pPr>
      <w:r>
        <w:t>For imports, top imports origin in 2019 is Russian Federation (29.2% of total imports), followed by China (14.7%), Iran (6.4%), Turkey (5.3%),  and Germany (5.0%). Major import commodities are mineral fuels, mineral oils and products of their distillation; bituminous substances; mineral waxes, accounting for 15.1% of total imports.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9.1% year-on-year in Q3 of 2020. Growth in overall economic activity improved from a contraction of 13.7% in the previous quarter. Government expenditure grew by the biggest margin at 6.9% annual growth.</w:t>
      </w:r>
      <w:r>
        <w:t xml:space="preserve"> On the other hand, the rest of the components, namely exports, imports, gross capital formation, as well as  household consumption, decreased by 44.7%, 36.1%, 11.4%, and 8.0%, respectively.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13.3% year-on-year in September of 2020. Growth in the retail sector increased from a contraction of 16.5% in August, reflecting increased trade activity.</w:t>
      </w:r>
    </w:p>
    <w:p>
      <w:pPr>
        <w:pStyle w:val="Heading2"/>
      </w:pPr>
      <w:r>
        <w:t>Industrial output expanded</w:t>
      </w:r>
    </w:p>
    <w:p>
      <w:pPr>
        <w:jc w:val="both"/>
      </w:pPr>
      <w:r>
        <w:t>Industrial production expanded by 3.3% year-on-year in September, an increase from 0.8% growth in the previous month. Growth in manufacturing declined to -0.1% from 0.2%.</w:t>
      </w:r>
    </w:p>
    <w:p>
      <w:pPr>
        <w:pStyle w:val="Heading2"/>
      </w:pPr>
      <w:r>
        <w:t>Inflation declined</w:t>
      </w:r>
    </w:p>
    <w:p>
      <w:pPr>
        <w:jc w:val="both"/>
      </w:pPr>
      <w:r>
        <w:t>Overall inflation declined to 1.5% year-on-year in October from 1.7% in the previous month. Prices for food products improved to 1.4% from 1.6%.</w:t>
      </w:r>
    </w:p>
    <w:p>
      <w:pPr>
        <w:jc w:val="both"/>
      </w:pPr>
      <w:r>
        <w:t>Armenia's central bank held unchanged the official policy rate to 4.25%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Armenia's economic growth ending in 2020 at -5.7%. In 2021, the panelists foresee growth at 4.9%.  Industrial production is seen to grow by -5.7% and 6.2%.</w:t>
      </w:r>
    </w:p>
    <w:p>
      <w:pPr>
        <w:jc w:val="both"/>
      </w:pPr>
      <w:r>
        <w:t>Meanwhile, Consensus Economics panelists foresee inflation ending in 2020 at 0.9%. In 2021, the panelists project inflation at 1.8%.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