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Armenia: Recent Economic Developments and Outlook</w:t>
      </w:r>
    </w:p>
    <w:p>
      <w:pPr>
        <w:pStyle w:val="Heading1"/>
      </w:pPr>
      <w:r>
        <w:t>GDP growth in 2019 rose</w:t>
      </w:r>
    </w:p>
    <w:p>
      <w:pPr>
        <w:jc w:val="both"/>
      </w:pPr>
      <w:r>
        <w:t>GDP growth rose by 7.6% year-on-year (yoy) in 2019.</w:t>
      </w:r>
      <w:r>
        <w:t xml:space="preserve"> On the demand side, private consumption (83.4% of GDP) contributed the most to growth, with 9.3 percentage points (pp).</w:t>
      </w:r>
      <w:r>
        <w:t xml:space="preserve"> On the supply side, services (54.2% of GDP) contributed the most to growth, with 5.4pp.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RM_GDP_componen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Government expenditure expanded the fastest on the demand side</w:t>
      </w:r>
    </w:p>
    <w:p>
      <w:pPr>
        <w:jc w:val="both"/>
      </w:pPr>
      <w:r>
        <w:t>Government expenditure expanded by the largest margin (12.5%).</w:t>
      </w:r>
      <w:r>
        <w:t xml:space="preserve"> Private consumption expanded by 11.7%.</w:t>
      </w:r>
      <w:r>
        <w:t xml:space="preserve"> Net exports increased by 7.1%.</w:t>
      </w:r>
      <w:r>
        <w:t xml:space="preserve"> On the other hand, gross capital formation plunged by 13.8%.</w:t>
      </w:r>
    </w:p>
    <w:p>
      <w:pPr>
        <w:pStyle w:val="Heading2"/>
      </w:pPr>
      <w:r>
        <w:t>On the supply side, services picked up the fastest</w:t>
      </w:r>
    </w:p>
    <w:p>
      <w:pPr>
        <w:jc w:val="both"/>
      </w:pPr>
      <w:r>
        <w:t>Services picked up the most rapidly (10.3%).</w:t>
      </w:r>
      <w:r>
        <w:t xml:space="preserve"> Industry (including construction) picked up by 9.1%.</w:t>
      </w:r>
      <w:r>
        <w:t xml:space="preserve"> On the other hand, agriculture declined by 4.0%.</w:t>
      </w:r>
    </w:p>
    <w:p>
      <w:pPr>
        <w:pStyle w:val="Heading2"/>
      </w:pPr>
      <w:r>
        <w:t>Unemployment improved; inflation declined</w:t>
      </w:r>
    </w:p>
    <w:p>
      <w:pPr>
        <w:jc w:val="both"/>
      </w:pPr>
      <w:r>
        <w:t>Unemployment improved from 19.0% in 2018 to nan% in 2019,</w:t>
      </w:r>
      <w:r>
        <w:t xml:space="preserve"> while inflation declined from 2.5% to 1.4%.</w:t>
      </w:r>
      <w:r>
        <w:t xml:space="preserve"> At the end of 2020, the central bank set the policy rate at 5.3%.</w:t>
      </w:r>
    </w:p>
    <w:p>
      <w:pPr>
        <w:pStyle w:val="Heading2"/>
      </w:pPr>
      <w:r>
        <w:t>Current account balance deficit</w:t>
      </w:r>
    </w:p>
    <w:p>
      <w:pPr>
        <w:jc w:val="both"/>
      </w:pPr>
      <w:r>
        <w:t>The current account balance (CAB) recorded a deficit at 7.2% of GDP in 2019,</w:t>
      </w:r>
      <w:r>
        <w:t xml:space="preserve"> compared to 6.9% in 2018.</w:t>
      </w:r>
    </w:p>
    <w:p>
      <w:pPr>
        <w:jc w:val="both"/>
      </w:pPr>
      <w:r>
        <w:t>Russian Federation is the top export destination (27.2% of exports in 2019). Other major exports partners include Switzerland (17.5%), Bulgaria (7.9%), and China (7.4%).</w:t>
      </w:r>
      <w:r>
        <w:t xml:space="preserve"> Top export products are ores, slag and ash (25.5% of exports).</w:t>
      </w:r>
    </w:p>
    <w:p>
      <w:pPr>
        <w:jc w:val="both"/>
      </w:pPr>
      <w:r>
        <w:t>Top imports origins are Russian Federation (29.2%), China (14.7%), Iran (6.4%), and Turkey (5.3%).</w:t>
      </w:r>
      <w:r>
        <w:t xml:space="preserve"> Major import commodities are mineral fuels, mineral oils and products of their distillation; bituminous substances; mineral waxes(15.1% of imports).</w:t>
      </w:r>
    </w:p>
    <w:p>
      <w:pPr>
        <w:pStyle w:val="Heading1"/>
      </w:pPr>
      <w:r>
        <w:t>Output contracted in Q3 2020</w:t>
      </w:r>
    </w:p>
    <w:p>
      <w:pPr>
        <w:jc w:val="both"/>
      </w:pPr>
      <w:r>
        <w:t>Output plunged by 9.1% yoy in Q3 2020</w:t>
      </w:r>
      <w:r>
        <w:t xml:space="preserve"> (-13.7% in the previous quarter).</w:t>
      </w:r>
      <w:r>
        <w:t xml:space="preserve"> Exports contracted by the largest margin at -44.7% yoy.</w:t>
      </w:r>
      <w:r>
        <w:t xml:space="preserve"> Gross capital formation contracted by 11.4%.</w:t>
      </w:r>
    </w:p>
    <w:p>
      <w:pPr>
        <w:pStyle w:val="Heading2"/>
      </w:pPr>
      <w:r>
        <w:t>Leading indicators</w:t>
      </w:r>
    </w:p>
    <w:p>
      <w:pPr>
        <w:jc w:val="both"/>
      </w:pPr>
      <w:r>
        <w:t>Retail sales shrank by 21.6% yoy in December (-17.1% yoy in November).</w:t>
      </w:r>
    </w:p>
    <w:p>
      <w:pPr>
        <w:pStyle w:val="Heading2"/>
      </w:pPr>
      <w:r>
        <w:t>Inflation picked up</w:t>
      </w:r>
    </w:p>
    <w:p>
      <w:pPr>
        <w:jc w:val="both"/>
      </w:pPr>
      <w:r>
        <w:t>Inflation rose to 3.9% yoy in December (1.8% yoy in November).</w:t>
      </w:r>
      <w:r>
        <w:t xml:space="preserve"> Meanwhile, the central bank tightened the policy rate to 5.5% in February (5.3% in January).</w:t>
      </w:r>
    </w:p>
    <w:p>
      <w:pPr>
        <w:pStyle w:val="Heading1"/>
      </w:pPr>
      <w:r>
        <w:t>Outlook favorable this year</w:t>
      </w:r>
    </w:p>
    <w:p>
      <w:pPr>
        <w:jc w:val="both"/>
      </w:pPr>
      <w:r>
        <w:t>As of January 2021, Consensus Economics panelists project economic growth ending at 5.0% in 2021</w:t>
      </w:r>
      <w:r>
        <w:t>, while in 2022, the panelists foresee growth at 5.5%.</w:t>
      </w:r>
      <w:r>
        <w:t xml:space="preserve">  Industrial production is seen to change by 5.8% and 6.2%. Finally, Consensus Economics foresee inflation at 1.9% in 2021 and 3.4% in 2022.</w:t>
      </w:r>
    </w:p>
    <w:p>
      <w:pPr>
        <w:jc w:val="both"/>
      </w:pPr>
      <w:r>
        <w:rPr>
          <w:i/>
          <w:sz w:val="20"/>
        </w:rPr>
        <w:t>Sources: Consensus Economics, The World Bank, UN Comtrade, Haver Analytics, and National Sources. Accessed 06 February 2021.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