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Republic of Korea: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2.7% in 2018 to 2.0% in 2019. On the demand side, government expenditure, accounting for 17.3% of GDP, contributed the most with 1.1 percentage points (pp).</w:t>
      </w:r>
      <w:r>
        <w:t xml:space="preserve"> Private consumption gave 0.9pp.</w:t>
      </w:r>
      <w:r>
        <w:t xml:space="preserve"> Net exports added 0.9pp.</w:t>
      </w:r>
      <w:r>
        <w:t xml:space="preserve"> On the other hand, gross capital formation cut 0.8pp from growth.</w:t>
      </w:r>
      <w:r>
        <w:t xml:space="preserve"> On the supply side, services, accounting for 56.8% of GDP, contributed the most with 1.5pp.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R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achieved largest gain on the demand side</w:t>
      </w:r>
    </w:p>
    <w:p>
      <w:pPr>
        <w:jc w:val="both"/>
      </w:pPr>
      <w:r>
        <w:t>Government expenditure jumped by the biggest margin at 6.5% annual growth.</w:t>
      </w:r>
      <w:r>
        <w:t xml:space="preserve"> Private consumption expanded by 1.9%.</w:t>
      </w:r>
      <w:r>
        <w:t xml:space="preserve"> On the other hand, gross capital formation declined by 2.5%.</w:t>
      </w:r>
      <w:r>
        <w:t xml:space="preserve"> On the other hand, net exports shrank by 39.0%.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increased by the largest edge at 2.7% annual growth.</w:t>
      </w:r>
      <w:r>
        <w:t xml:space="preserve"> Agriculture expanded by 2.4%.</w:t>
      </w:r>
      <w:r>
        <w:t xml:space="preserve"> Industry (including construction) picked up by 1.0%.</w:t>
      </w:r>
    </w:p>
    <w:p>
      <w:pPr>
        <w:pStyle w:val="Heading2"/>
      </w:pPr>
      <w:r>
        <w:t>Unemployment declined; inflation improved</w:t>
      </w:r>
    </w:p>
    <w:p>
      <w:pPr>
        <w:jc w:val="both"/>
      </w:pPr>
      <w:r>
        <w:t>Unemployment rate declined from 3.8% in 2018 to 3.7% in 2019. Consequently, inflation improved from 1.5% to 0.4%.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R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3.7% of GDP in 2019. Net trade in goods and services reached USD 53.8 billion. In 2018, CAB posted a surplus at 4.5% of GDP.</w:t>
      </w:r>
    </w:p>
    <w:p>
      <w:pPr>
        <w:jc w:val="both"/>
      </w:pPr>
      <w:r>
        <w:t>China is the country's top export destination accounting for 25.1% of total exports in 2019. Other major exports partners include USA (13.6%), Viet Nam (8.9%), China, Hong Kong SAR (5.9%), and Japan (5.2%). Top export commodities are electrical machinery and equipment and parts thereof; sound recorders and reproducers; television image and sound recorders and reproducers, parts and accessories of such articles, accounting for 28.3% of total exports.</w:t>
      </w:r>
    </w:p>
    <w:p>
      <w:pPr>
        <w:jc w:val="both"/>
      </w:pPr>
      <w:r>
        <w:t>For imports, top imports origin in 2019 is China (21.3% of total imports), followed by USA (12.3%), Japan (9.5%), Saudi Arabia (4.3%),  and Viet Nam (4.2%). Major import commodities are mineral fuels, mineral oils and products of their distillation; bituminous substances; mineral waxes, accounting for 25.3%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1.2% year-on-year in Q3 of 2020. Growth in overall economic activity improved from a contraction of 2.7% in the previous quarter. Government expenditure expanded by the biggest margin at 4.8% annual growth.</w:t>
      </w:r>
      <w:r>
        <w:t xml:space="preserve"> On the other hand, private consumption contracted by 4.2%.</w:t>
      </w:r>
      <w:r>
        <w:t xml:space="preserve"> Meanwhile, gross capital formation was flat over the same period.</w:t>
      </w:r>
    </w:p>
    <w:p>
      <w:pPr>
        <w:pStyle w:val="Heading2"/>
      </w:pPr>
      <w:r>
        <w:t>Retail sales picked up</w:t>
      </w:r>
    </w:p>
    <w:p>
      <w:pPr>
        <w:jc w:val="both"/>
      </w:pPr>
      <w:r>
        <w:t>Retail sales picked up by 2.3% year-on-year in October of 2020. Growth in the retail sector contracted from an expansion of 4.1 in September, reflecting muted trade activity.</w:t>
      </w:r>
    </w:p>
    <w:p>
      <w:pPr>
        <w:pStyle w:val="Heading2"/>
      </w:pPr>
      <w:r>
        <w:t>Industrial output expanded</w:t>
      </w:r>
    </w:p>
    <w:p>
      <w:pPr>
        <w:jc w:val="both"/>
      </w:pPr>
      <w:r>
        <w:t>Industrial production expanded by 2.1% year-on-year in October, adecrease from 2.2% growth in the previous month. Growth in manufacturing declined to 2.1% from 2.5%.</w:t>
      </w:r>
    </w:p>
    <w:p>
      <w:pPr>
        <w:pStyle w:val="Heading2"/>
      </w:pPr>
      <w:r>
        <w:t>Inflation declined</w:t>
      </w:r>
    </w:p>
    <w:p>
      <w:pPr>
        <w:jc w:val="both"/>
      </w:pPr>
      <w:r>
        <w:t>Overall inflation declined to -1.6% year-on-year in October from -1.4% in the previous month.</w:t>
      </w:r>
    </w:p>
    <w:p>
      <w:pPr>
        <w:jc w:val="both"/>
      </w:pPr>
      <w:r>
        <w:t>Republic of Korea's central bank held unchanged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Republic of Korea's economic growth ending in 2020 at -1.2%. In 2021, the panelists foresee growth at 3.3%. Over the same period, consumption is expected to grow by -4.1% and 3.3%, while investment is projected to grow by 2.0% and 2.4%. Industrial production is seen to grow by -0.5% and 3.7%.</w:t>
      </w:r>
    </w:p>
    <w:p>
      <w:pPr>
        <w:jc w:val="both"/>
      </w:pPr>
      <w:r>
        <w:t>Meanwhile, Consensus Economics panelists foresee inflation averaging in 2020 at 0.5%. In 2021, the panelists project inflation at 1.1%.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