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Malaysia: Recent Economic Developments and Outlook</w:t>
      </w:r>
    </w:p>
    <w:p>
      <w:pPr>
        <w:pStyle w:val="Heading1"/>
      </w:pPr>
      <w:r>
        <w:t>GDP growth in 2019 rose</w:t>
      </w:r>
    </w:p>
    <w:p>
      <w:pPr>
        <w:jc w:val="both"/>
      </w:pPr>
      <w:r>
        <w:t>GDP growth rose by 4.3% year-on-year (yoy) in 2019.</w:t>
      </w:r>
      <w:r>
        <w:t xml:space="preserve"> On the demand side, private consumption (59.8% of GDP) contributed the most to growth, with 4.4 percentage points (pp).</w:t>
      </w:r>
      <w:r>
        <w:t xml:space="preserve"> On the supply side, services (54.2% of GDP) contributed the most to growth, with 3.3pp.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L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Net exports jumped the fastest on the demand side</w:t>
      </w:r>
    </w:p>
    <w:p>
      <w:pPr>
        <w:jc w:val="both"/>
      </w:pPr>
      <w:r>
        <w:t>Net exports jumped by the largest margin (12.8%).</w:t>
      </w:r>
      <w:r>
        <w:t xml:space="preserve"> Private consumption picked up by 7.6%.</w:t>
      </w:r>
      <w:r>
        <w:t xml:space="preserve"> Government expenditure grew by 2.0%.</w:t>
      </w:r>
      <w:r>
        <w:t xml:space="preserve"> On the other hand, gross capital formation contracted by 3.9%.</w:t>
      </w:r>
    </w:p>
    <w:p>
      <w:pPr>
        <w:pStyle w:val="Heading2"/>
      </w:pPr>
      <w:r>
        <w:t>On the supply side, services grew the fastest</w:t>
      </w:r>
    </w:p>
    <w:p>
      <w:pPr>
        <w:jc w:val="both"/>
      </w:pPr>
      <w:r>
        <w:t>Services grew the most rapidly (6.1%).</w:t>
      </w:r>
      <w:r>
        <w:t xml:space="preserve"> Industry (including construction) increased by 2.3%.</w:t>
      </w:r>
      <w:r>
        <w:t xml:space="preserve"> Agriculture picked up by 2.0%.</w:t>
      </w:r>
    </w:p>
    <w:p>
      <w:pPr>
        <w:pStyle w:val="Heading2"/>
      </w:pPr>
      <w:r>
        <w:t>Unemployment stayed; inflation declined</w:t>
      </w:r>
    </w:p>
    <w:p>
      <w:pPr>
        <w:jc w:val="both"/>
      </w:pPr>
      <w:r>
        <w:t>Unemployment stayed from 3.3% in 2018 to 3.3% in 2019,</w:t>
      </w:r>
      <w:r>
        <w:t xml:space="preserve"> while inflation declined from 0.9% to 0.7%.</w:t>
      </w:r>
      <w:r>
        <w:t xml:space="preserve"> At the end of 2020, the central bank set the policy rate at 1.8%.</w:t>
      </w:r>
    </w:p>
    <w:p>
      <w:pPr>
        <w:pStyle w:val="Heading2"/>
      </w:pPr>
      <w:r>
        <w:t>Current account balance deficit</w:t>
      </w:r>
    </w:p>
    <w:p>
      <w:pPr>
        <w:jc w:val="both"/>
      </w:pPr>
      <w:r>
        <w:t>The current account balance (CAB) recorded a deficit at nan% of GDP in 2019,</w:t>
      </w:r>
      <w:r>
        <w:t xml:space="preserve"> compared to 2.1% in 2018.</w:t>
      </w:r>
    </w:p>
    <w:p>
      <w:pPr>
        <w:jc w:val="both"/>
      </w:pPr>
      <w:r>
        <w:t>China is the top export destination (14.2% of exports in 2019). Other major exports partners include Singapore (13.9%), USA (9.7%), and China, Hong Kong SAR (6.7%).</w:t>
      </w:r>
      <w:r>
        <w:t xml:space="preserve"> Top export products are electrical machinery and equipment and parts thereof; sound recorders and reproducers; television image and sound recorders and reproducers, parts and accessories of such articles (34.4% of exports).</w:t>
      </w:r>
    </w:p>
    <w:p>
      <w:pPr>
        <w:jc w:val="both"/>
      </w:pPr>
      <w:r>
        <w:t>Top imports origins are China (20.7%), Singapore (10.5%), USA (8.1%), and Japan (7.5%).</w:t>
      </w:r>
      <w:r>
        <w:t xml:space="preserve"> Major import commodities are electrical machinery and equipment and parts thereof; sound recorders and reproducers; television image and sound recorders and reproducers, parts and accessories of such articles(27.3%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2.7% yoy in Q3 2020</w:t>
      </w:r>
      <w:r>
        <w:t xml:space="preserve"> (-17.0% in the previous quarter).</w:t>
      </w:r>
      <w:r>
        <w:t xml:space="preserve"> Exports slowed down by the largest margin at -4.7% yoy.</w:t>
      </w:r>
    </w:p>
    <w:p>
      <w:pPr>
        <w:pStyle w:val="Heading2"/>
      </w:pPr>
      <w:r>
        <w:t>Leading indicators</w:t>
      </w:r>
    </w:p>
    <w:p>
      <w:pPr>
        <w:jc w:val="both"/>
      </w:pPr>
      <w:r>
        <w:t>Consumer confidence index was in the pessimistic territory at 91.6 in Q3 (85.9 in Q2).</w:t>
      </w:r>
      <w:r>
        <w:t xml:space="preserve"> Industrial production shrank by 2.3% yoy in November (1.1% yoy in October).</w:t>
      </w:r>
    </w:p>
    <w:p>
      <w:pPr>
        <w:pStyle w:val="Heading2"/>
      </w:pPr>
      <w:r>
        <w:t>Inflation picked up</w:t>
      </w:r>
    </w:p>
    <w:p>
      <w:pPr>
        <w:jc w:val="both"/>
      </w:pPr>
      <w:r>
        <w:t>Inflation rose to 2.0% yoy in January (-1.5% yoy in December).</w:t>
      </w:r>
      <w:r>
        <w:t xml:space="preserve"> Meanwhile, the central bank maintained the policy rate to 1.8% in January.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6.7% in 2021</w:t>
      </w:r>
      <w:r>
        <w:t>, while in 2022, the panelists foresee growth at 5.3%.</w:t>
      </w:r>
      <w:r>
        <w:t xml:space="preserve"> Over the same period, consumption is expected to change by 7.4% and 5.9%, while investment is projected to change by 9.8% and 6.1%. Industrial production is seen to change by 5.8% and 4.3%. Finally, Consensus Economics foresee inflation at 1.8% in 2021 and 2.0%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05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