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2.5% in 2018 to 1.3% in 2019. On the demand side, private consumption, accounting for 50.4% of GDP, contributed the most with 1.3 percentage points (pp).</w:t>
      </w:r>
      <w:r>
        <w:t xml:space="preserve"> Gross capital formation shared 0.8pp.</w:t>
      </w:r>
      <w:r>
        <w:t xml:space="preserve"> Government expenditure gave 0.4pp.</w:t>
      </w:r>
      <w:r>
        <w:t xml:space="preserve"> On the other hand, net exports subtracted 1.4pp from growth.</w:t>
      </w:r>
      <w:r>
        <w:t xml:space="preserve"> On the supply side, services, accounting for 54.0% of GDP, contributed the most with 0.9pp.</w:t>
      </w:r>
      <w:r>
        <w:t xml:space="preserve"> Industry (including construction) shared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expanded by the biggest margin at 3.8% annual growth.</w:t>
      </w:r>
      <w:r>
        <w:t xml:space="preserve"> Private consumption expanded by 2.5%.</w:t>
      </w:r>
      <w:r>
        <w:t xml:space="preserve"> Government expenditure jumped by 2.2%.</w:t>
      </w:r>
      <w:r>
        <w:t xml:space="preserve"> On the other hand, net exports decreased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grew by the largest edge at 1.6% annual growth.</w:t>
      </w:r>
      <w:r>
        <w:t xml:space="preserve"> Industry (including construction) jumped by 1.0%.</w:t>
      </w:r>
      <w:r>
        <w:t xml:space="preserve"> Agriculture increased by 0.6%.</w:t>
      </w:r>
    </w:p>
    <w:p>
      <w:pPr>
        <w:pStyle w:val="Heading2"/>
      </w:pPr>
      <w:r>
        <w:t>Unemployment plunged; inflation jumped</w:t>
      </w:r>
    </w:p>
    <w:p>
      <w:pPr>
        <w:jc w:val="both"/>
      </w:pPr>
      <w:r>
        <w:t>Unemployment rate plunged from 4.8% in 2018 to 4.5% in 2019. Consequently, inflation jumped from 2.9% to 4.5%. At the end of the year, the central bank set the policy rate at 6.25%.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 Top export commodities are mineral fuels, mineral oils and products of their distillation; bituminous substances; mineral waxes, accounting for 52.0% of total exports.</w:t>
      </w:r>
    </w:p>
    <w:p>
      <w:pPr>
        <w:jc w:val="both"/>
      </w:pPr>
      <w:r>
        <w:t>For imports, top imports origin in 2019 is China (21.9% of total imports), followed by Germany (10.2%), Belarus (5.5%), USA (5.4%),  and Italy (4.4%). Major import commodities are nuclear reactors, boilers, machinery and mechanical appliances; parts thereof, accounting for 17.5% of total imports.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year-on-year in Q2 of 2020. Growth in overall economic activity worsened from 1.7% in the previous quarter. Net exports picked up by the biggest margin at 227.5% annual growth.</w:t>
      </w:r>
      <w:r>
        <w:t xml:space="preserve"> Government expenditure increased by 1.6%.</w:t>
      </w:r>
      <w:r>
        <w:t xml:space="preserve"> On the other hand, private consumption and gross capital formation plunged by 22.2% and 6.2%, respectively.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improved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improved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Industrial production shrank by 5.6% year-on-year in October, a decrease from -5.1% growth in the previous month. Looking at the details, growth in manufacturing declined to -3.5% from -0.7%, while mining and quarrying output growth jumped to -8.8% from -9.5%. Meanwhile, growth in water supply, sewerage, waste management &amp; remediation improved to 1.9% from -0.9%, while electricity, gas, steam and air conditioning supply output growth declined to -3.2% from -2.6%</w:t>
      </w:r>
    </w:p>
    <w:p>
      <w:pPr>
        <w:pStyle w:val="Heading2"/>
      </w:pPr>
      <w:r>
        <w:t>Inflation jumped</w:t>
      </w:r>
    </w:p>
    <w:p>
      <w:pPr>
        <w:jc w:val="both"/>
      </w:pPr>
      <w:r>
        <w:t>Overall inflation jumped to 4.0% year-on-year in October from 3.7% in the previous month. Prices for food products worsened to 4.8% from 4.3%, while housing, rent, water, electricity, gas &amp; other fuels jumped to 3.4% from 3.3%. Transportation declined to -0.1% from 0.5%, while communication slowed down to 4.3% from 5.2%. Meanwhile, prices for health/medical care rose to 4.2% from 4.1%, recreation jumped to 2.3% from 2.0%, and education declined to 1.9% from 2.1%</w:t>
      </w:r>
    </w:p>
    <w:p>
      <w:pPr>
        <w:jc w:val="both"/>
      </w:pPr>
      <w:r>
        <w:t>Russian Federation's central bank held unchanged the official policy rate to 4.25%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Russian Federation's economic growth ending in 2020 at -3.8%. In 2021, the panelists foresee growth at 3.1%. Over the same period, consumption is expected to grow by -6.5% and 3.8%, while investment is projected to grow by -7.8% and 4.1%. Industrial production is seen to grow by -3.5% and 3.2%.</w:t>
      </w:r>
    </w:p>
    <w:p>
      <w:pPr>
        <w:jc w:val="both"/>
      </w:pPr>
      <w:r>
        <w:t>Meanwhile, Consensus Economics panelists foresee inflation ending in 2020 at 3.9%. In 2021, the panelists project inflation at 3.6%.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