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D7FA" w14:textId="0E17C9F9" w:rsidR="00697B6B" w:rsidRDefault="008D071B">
      <w:pPr>
        <w:pStyle w:val="Title"/>
      </w:pPr>
      <w:r>
        <w:t xml:space="preserve"> </w:t>
      </w:r>
      <w:bookmarkStart w:id="0" w:name="_GoBack"/>
      <w:bookmarkEnd w:id="0"/>
      <w:r>
        <w:t>Russian Federation: Asian Development Outlook</w:t>
      </w:r>
    </w:p>
    <w:p w14:paraId="3E376C42" w14:textId="77777777" w:rsidR="00697B6B" w:rsidRDefault="008D071B">
      <w:pPr>
        <w:pStyle w:val="Heading1"/>
      </w:pPr>
      <w:r>
        <w:t>GDP growth in 2019</w:t>
      </w:r>
    </w:p>
    <w:p w14:paraId="6F410307" w14:textId="77777777" w:rsidR="00697B6B" w:rsidRDefault="008D071B">
      <w:pPr>
        <w:pStyle w:val="ListNumber"/>
        <w:jc w:val="both"/>
      </w:pPr>
      <w:r>
        <w:t>Overall GDP growth: GDP growth slowed down from 2.5% in 2018 to 1.3% in 2019.</w:t>
      </w:r>
    </w:p>
    <w:p w14:paraId="2C1E28B1" w14:textId="77777777" w:rsidR="00697B6B" w:rsidRDefault="008D071B">
      <w:pPr>
        <w:pStyle w:val="ListNumber"/>
        <w:jc w:val="both"/>
      </w:pPr>
      <w:r>
        <w:t xml:space="preserve">Main sources of growth: On the demand side, private consumption contributed the most with 1.3 </w:t>
      </w:r>
      <w:r>
        <w:t>percentage points (pp), followed by gross capital formation (0.8pp) and government expenditure (0.4pp). On the production side, services and industry (including construction) contributed 0.9pp and 0.8pp to overall growth, respectively.</w:t>
      </w:r>
    </w:p>
    <w:p w14:paraId="1C0BDF9A" w14:textId="77777777" w:rsidR="00697B6B" w:rsidRDefault="008D071B">
      <w:pPr>
        <w:pStyle w:val="ListNumber"/>
        <w:jc w:val="both"/>
      </w:pPr>
      <w:r>
        <w:t>Other sources of gro</w:t>
      </w:r>
      <w:r>
        <w:t>wth: On the other hand, net exports had a negative contribution to growth at 1.4pp. Meanwhile, agriculture contributed 0.pp.</w:t>
      </w:r>
    </w:p>
    <w:p w14:paraId="0E8DCD7F" w14:textId="77777777" w:rsidR="00697B6B" w:rsidRDefault="008D071B">
      <w:pPr>
        <w:jc w:val="center"/>
      </w:pPr>
      <w:r>
        <w:rPr>
          <w:noProof/>
        </w:rPr>
        <w:drawing>
          <wp:inline distT="0" distB="0" distL="0" distR="0" wp14:anchorId="0EB43B8F" wp14:editId="335DA82E">
            <wp:extent cx="5040000" cy="25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S_GDP_component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3D9A" w14:textId="77777777" w:rsidR="00697B6B" w:rsidRDefault="008D071B">
      <w:pPr>
        <w:pStyle w:val="Heading1"/>
      </w:pPr>
      <w:r>
        <w:t>Expenditure approach</w:t>
      </w:r>
    </w:p>
    <w:p w14:paraId="3D752D30" w14:textId="77777777" w:rsidR="00697B6B" w:rsidRDefault="008D071B">
      <w:pPr>
        <w:pStyle w:val="ListNumber"/>
        <w:jc w:val="both"/>
      </w:pPr>
      <w:r>
        <w:t xml:space="preserve">Private consumption: Private consumption growth decreased from 3.3% in 2018 to 2.5% in 2019, accounting for </w:t>
      </w:r>
      <w:r>
        <w:t>50.4% of GDP.</w:t>
      </w:r>
    </w:p>
    <w:p w14:paraId="5353682C" w14:textId="77777777" w:rsidR="00697B6B" w:rsidRDefault="008D071B">
      <w:pPr>
        <w:pStyle w:val="ListNumber"/>
        <w:jc w:val="both"/>
      </w:pPr>
      <w:r>
        <w:t>Government expenditure: Government expenditure growth increased from 1.3% in 2018 to 2.2% in 2019, accounting for 18.3% of GDP.</w:t>
      </w:r>
    </w:p>
    <w:p w14:paraId="41D042BD" w14:textId="77777777" w:rsidR="00697B6B" w:rsidRDefault="008D071B">
      <w:pPr>
        <w:pStyle w:val="ListNumber"/>
        <w:jc w:val="both"/>
      </w:pPr>
      <w:r>
        <w:t>Gross capital formation: Gross capital formation growth increased from -0.6% in 2018 to 3.8% in 2019, accounting f</w:t>
      </w:r>
      <w:r>
        <w:t>or 23.1% of GDP.</w:t>
      </w:r>
    </w:p>
    <w:p w14:paraId="6D9D35EF" w14:textId="77777777" w:rsidR="00697B6B" w:rsidRDefault="008D071B">
      <w:pPr>
        <w:pStyle w:val="ListNumber"/>
        <w:jc w:val="both"/>
      </w:pPr>
      <w:r>
        <w:t>Net exports: Net exports growth slowed down from 97.9% in 2018 to -22.3% in 2019, accounting for 7.6% of GDP.</w:t>
      </w:r>
    </w:p>
    <w:p w14:paraId="432AF388" w14:textId="77777777" w:rsidR="00697B6B" w:rsidRDefault="008D071B">
      <w:pPr>
        <w:pStyle w:val="Heading1"/>
      </w:pPr>
      <w:r>
        <w:lastRenderedPageBreak/>
        <w:t>Production approach</w:t>
      </w:r>
    </w:p>
    <w:p w14:paraId="61CD7CD9" w14:textId="77777777" w:rsidR="00697B6B" w:rsidRDefault="008D071B">
      <w:pPr>
        <w:pStyle w:val="ListNumber"/>
        <w:jc w:val="both"/>
      </w:pPr>
      <w:r>
        <w:t>Agriculture: Agriculture growth slowed down from 0.9% in 2018 to 0.6% in 2019, accounting for 3.4% of GDP.</w:t>
      </w:r>
    </w:p>
    <w:p w14:paraId="233B85DF" w14:textId="77777777" w:rsidR="00697B6B" w:rsidRDefault="008D071B">
      <w:pPr>
        <w:pStyle w:val="ListNumber"/>
        <w:jc w:val="both"/>
      </w:pPr>
      <w:r>
        <w:t>In</w:t>
      </w:r>
      <w:r>
        <w:t>dustry (including construction): Industry (including construction) growth decreased from 2.2% in 2018 to 1.0% in 2019, accounting for 32.2% of GDP.</w:t>
      </w:r>
    </w:p>
    <w:p w14:paraId="3D8B8B36" w14:textId="77777777" w:rsidR="00697B6B" w:rsidRDefault="008D071B">
      <w:pPr>
        <w:pStyle w:val="ListNumber"/>
        <w:jc w:val="both"/>
      </w:pPr>
      <w:r>
        <w:t>Services: Services growth contracted from 2.7% in 2018 to 1.6% in 2019, accounting for 54.0% of GDP.</w:t>
      </w:r>
    </w:p>
    <w:p w14:paraId="2D68703C" w14:textId="77777777" w:rsidR="00697B6B" w:rsidRDefault="008D071B">
      <w:pPr>
        <w:pStyle w:val="Heading1"/>
      </w:pPr>
      <w:r>
        <w:t xml:space="preserve">Income </w:t>
      </w:r>
      <w:r>
        <w:t>approach</w:t>
      </w:r>
    </w:p>
    <w:p w14:paraId="1AA66A91" w14:textId="77777777" w:rsidR="00697B6B" w:rsidRDefault="008D071B">
      <w:pPr>
        <w:pStyle w:val="ListNumber"/>
        <w:jc w:val="both"/>
      </w:pPr>
      <w:r>
        <w:t>Employment: Unemployment rate slowed down from 4.8% in 2018 to 4.5% in 2019.</w:t>
      </w:r>
    </w:p>
    <w:p w14:paraId="7D52FC10" w14:textId="77777777" w:rsidR="00697B6B" w:rsidRDefault="008D071B">
      <w:pPr>
        <w:pStyle w:val="Heading1"/>
      </w:pPr>
      <w:r>
        <w:t>Inflation</w:t>
      </w:r>
    </w:p>
    <w:p w14:paraId="739CE546" w14:textId="77777777" w:rsidR="00697B6B" w:rsidRDefault="008D071B">
      <w:pPr>
        <w:pStyle w:val="ListNumber"/>
        <w:jc w:val="both"/>
      </w:pPr>
      <w:r>
        <w:t>Inflation: Inflation rate jumped from 2.9% in 2018 to 4.5% in 2019.</w:t>
      </w:r>
    </w:p>
    <w:p w14:paraId="6514AB2F" w14:textId="77777777" w:rsidR="00697B6B" w:rsidRDefault="008D071B">
      <w:pPr>
        <w:jc w:val="center"/>
      </w:pPr>
      <w:r>
        <w:rPr>
          <w:noProof/>
        </w:rPr>
        <w:drawing>
          <wp:inline distT="0" distB="0" distL="0" distR="0" wp14:anchorId="2B09AE46" wp14:editId="2D6F8ACC">
            <wp:extent cx="5040000" cy="25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S_inflation_ca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148C" w14:textId="77777777" w:rsidR="00697B6B" w:rsidRDefault="008D071B">
      <w:pPr>
        <w:pStyle w:val="Heading1"/>
      </w:pPr>
      <w:r>
        <w:t>Current Account Balance</w:t>
      </w:r>
    </w:p>
    <w:p w14:paraId="1C391CF9" w14:textId="77777777" w:rsidR="00697B6B" w:rsidRDefault="008D071B">
      <w:pPr>
        <w:pStyle w:val="ListNumber"/>
        <w:jc w:val="both"/>
      </w:pPr>
      <w:r>
        <w:t>Current account balance (CAB): CAB recorded a surplus at 3.8% of G</w:t>
      </w:r>
      <w:r>
        <w:t>DP in 2019. Net trade in goods and services reached USD 129.0 billion. In 2018, CAB posted a surplus at 6.9% of GDP.</w:t>
      </w:r>
    </w:p>
    <w:p w14:paraId="56193554" w14:textId="77777777" w:rsidR="00697B6B" w:rsidRDefault="008D071B">
      <w:pPr>
        <w:pStyle w:val="ListNumber"/>
        <w:jc w:val="both"/>
      </w:pPr>
      <w:r>
        <w:t>Top exports partners: Top exports destinations in 2019 are China (13.4% of total exports), Netherlands (10.5%), Germany (6.6%), Belarus (5.</w:t>
      </w:r>
      <w:r>
        <w:t>1%),  and Turkey (5.0%).</w:t>
      </w:r>
    </w:p>
    <w:p w14:paraId="201FAC30" w14:textId="77777777" w:rsidR="00697B6B" w:rsidRDefault="008D071B">
      <w:pPr>
        <w:pStyle w:val="ListNumber"/>
        <w:jc w:val="both"/>
      </w:pPr>
      <w:r>
        <w:t>Top export commodities: Top export commodities include mineral fuels, mineral oils and products of their distillation; bituminous substances; mineral waxes (52.0% of total exports), commodities not specified according to kind (13.0</w:t>
      </w:r>
      <w:r>
        <w:t>%), iron and steel (4.3%), natural, cultured pearls; precious, semi-precious stones; precious metals, metals clad with precious metal, and articles thereof; imitation jewellery; coin (3.6%),  and nuclear reactors, boilers, machinery and mechanical applianc</w:t>
      </w:r>
      <w:r>
        <w:t>es; parts thereof (2.1%).</w:t>
      </w:r>
    </w:p>
    <w:p w14:paraId="7A1D6AA7" w14:textId="77777777" w:rsidR="00697B6B" w:rsidRDefault="008D071B">
      <w:pPr>
        <w:pStyle w:val="ListNumber"/>
        <w:jc w:val="both"/>
      </w:pPr>
      <w:r>
        <w:lastRenderedPageBreak/>
        <w:t>Top imports partners: Top imports origins in 2019 are China (21.9% of total imports), Germany (10.2%), Belarus (5.5%), USA (5.4%),  and Italy (4.4%).</w:t>
      </w:r>
    </w:p>
    <w:p w14:paraId="559171DE" w14:textId="77777777" w:rsidR="00697B6B" w:rsidRDefault="008D071B">
      <w:pPr>
        <w:pStyle w:val="ListNumber"/>
        <w:jc w:val="both"/>
      </w:pPr>
      <w:r>
        <w:t>Top import commodities include nuclear reactors, boilers, machinery and mechanic</w:t>
      </w:r>
      <w:r>
        <w:t>al appliances; parts thereof (17.5% of total imports), electrical machinery and equipment and parts thereof; sound recorders and reproducers; television image and sound recorders and reproducers, parts and accessories of such articles (12.1%), vehicles; ot</w:t>
      </w:r>
      <w:r>
        <w:t>her than railway or tramway rolling stock, and parts and accessories thereof (9.7%), pharmaceutical products (5.7%),  and plastics and articles thereof (4.0%).</w:t>
      </w:r>
    </w:p>
    <w:p w14:paraId="47CA2C63" w14:textId="77777777" w:rsidR="00697B6B" w:rsidRDefault="008D071B">
      <w:pPr>
        <w:pStyle w:val="Heading1"/>
      </w:pPr>
      <w:r>
        <w:t>Outlook</w:t>
      </w:r>
    </w:p>
    <w:p w14:paraId="3215AA88" w14:textId="77777777" w:rsidR="00697B6B" w:rsidRDefault="008D071B">
      <w:pPr>
        <w:pStyle w:val="ListNumber"/>
        <w:jc w:val="both"/>
      </w:pPr>
      <w:r>
        <w:t xml:space="preserve">Consumer confidence: Consumer confidence index contracted to -22.0 points in Q3 of 2020 </w:t>
      </w:r>
      <w:r>
        <w:t>from -13.0 points in the same quarter in the previous year, reflecting more pessimistic consumer sentiments. Consumer expectations about the general economic situation in the next 12 months worsened to -15.0 points from -9.0 points, indicating negative exp</w:t>
      </w:r>
      <w:r>
        <w:t>ections about the country's current and future economic situation.</w:t>
      </w:r>
    </w:p>
    <w:p w14:paraId="043BF1B6" w14:textId="77777777" w:rsidR="00697B6B" w:rsidRDefault="008D071B">
      <w:pPr>
        <w:pStyle w:val="ListNumber"/>
        <w:jc w:val="both"/>
      </w:pPr>
      <w:r>
        <w:t xml:space="preserve">Industrial production: Indutrial output improved to -4.9% year-on-year in August this year from -5.4% in the previous month. Looking at the details, manufacturing declined to -3.8% from </w:t>
      </w:r>
      <w:r>
        <w:t>-3.2%, while mining and quarrying improved to -12.0% from -15.1%. Meanwhile, water supply, sewerage, waste management &amp; remediation improved to -6.9% from -7.3%, while electricity, gas, steam and air conditioning supply declined to -3.3% from -2.5%.</w:t>
      </w:r>
    </w:p>
    <w:p w14:paraId="0AB47F7A" w14:textId="77777777" w:rsidR="00697B6B" w:rsidRDefault="008D071B">
      <w:pPr>
        <w:pStyle w:val="ListNumber"/>
        <w:jc w:val="both"/>
      </w:pPr>
      <w:r>
        <w:t>Inflat</w:t>
      </w:r>
      <w:r>
        <w:t>ion: Inflation worsened to 4.0% year-on-year in October this year from 3.7% in the previous month. Prices for food products worsened to 4.8% from 4.3%, while housing, rent, water, electricity, gas &amp; other fuels worsened to 3.4% from 3.3%. Transportation de</w:t>
      </w:r>
      <w:r>
        <w:t>clined to -0.1% from 0.5%, while communication improved to 4.3% from 5.2%. Meanwhile, prices for health/medical care worsened to 4.2% from 4.1%, recreation jumped to 2.3% from 2.0%, and education declined to 1.9% from 2.1%</w:t>
      </w:r>
    </w:p>
    <w:p w14:paraId="498B332D" w14:textId="77777777" w:rsidR="00697B6B" w:rsidRDefault="008D071B">
      <w:pPr>
        <w:pStyle w:val="ListNumber"/>
        <w:jc w:val="both"/>
      </w:pPr>
      <w:r>
        <w:t>Monetary policy: Russian Federati</w:t>
      </w:r>
      <w:r>
        <w:t>on's central bank maintained the key interest rate at 4.25% in October from 4.25% in September.</w:t>
      </w:r>
    </w:p>
    <w:p w14:paraId="7C37269A" w14:textId="77777777" w:rsidR="00697B6B" w:rsidRDefault="008D071B">
      <w:pPr>
        <w:pStyle w:val="ListNumber"/>
      </w:pPr>
      <w:r>
        <w:t>Comments on current events</w:t>
      </w:r>
    </w:p>
    <w:p w14:paraId="6AD0D94E" w14:textId="77777777" w:rsidR="00697B6B" w:rsidRDefault="008D071B">
      <w:pPr>
        <w:pStyle w:val="ListNumber"/>
        <w:jc w:val="both"/>
      </w:pPr>
      <w:r>
        <w:t xml:space="preserve">Outlook: On November 6, 2020, Consensus Economics panelists forecast Russian Federation' economic growth ending in 2020 at -4.0%. In </w:t>
      </w:r>
      <w:r>
        <w:t>2021, the panelists project growth to end the year at 2.9%.</w:t>
      </w:r>
    </w:p>
    <w:p w14:paraId="692D6CCF" w14:textId="77777777" w:rsidR="00697B6B" w:rsidRDefault="008D071B">
      <w:pPr>
        <w:pStyle w:val="ListNumber"/>
      </w:pPr>
      <w:r>
        <w:t>Risks</w:t>
      </w:r>
    </w:p>
    <w:sectPr w:rsidR="00697B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7B6B"/>
    <w:rsid w:val="008D071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1DC2A8"/>
  <w14:defaultImageDpi w14:val="300"/>
  <w15:docId w15:val="{0353DBCF-9F47-486F-8236-A44E1987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3F435C-37D9-434F-BBB8-110F4CB21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Jesson Pagaduan</cp:lastModifiedBy>
  <cp:revision>2</cp:revision>
  <dcterms:created xsi:type="dcterms:W3CDTF">2013-12-23T23:15:00Z</dcterms:created>
  <dcterms:modified xsi:type="dcterms:W3CDTF">2020-11-13T06:20:00Z</dcterms:modified>
  <cp:category/>
</cp:coreProperties>
</file>