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 — Market &amp; AI-Event Analysis</w:t>
      </w:r>
    </w:p>
    <w:p>
      <w:r>
        <w:t>Range 2023-01-02 .. 2023-02-18. Generated 2025-01-01T00:00:00Z. 48 daily bars analyzed.</w:t>
      </w:r>
    </w:p>
    <w:p>
      <w:pPr>
        <w:pStyle w:val="Heading1"/>
      </w:pPr>
      <w:r>
        <w:t>Methodology</w:t>
      </w:r>
    </w:p>
    <w:p>
      <w:r>
        <w:t>Price inflections are detected by a deterministic change-point algorithm (pelt:rbf:pen=8;win=5;gap_k=2.5); the same inputs reproduce the same points. Industry events are curated and aligned to inflections within a bounded time window; every conclusion links back to a cited source.</w:t>
      </w:r>
    </w:p>
    <w:p>
      <w:pPr>
        <w:pStyle w:val="Heading1"/>
      </w:pPr>
      <w:r>
        <w:t>Findings</w:t>
      </w:r>
    </w:p>
    <w:p>
      <w:pPr>
        <w:pStyle w:val="Heading2"/>
      </w:pPr>
      <w:r>
        <w:t>2023-01-16 — turning_up</w:t>
      </w:r>
    </w:p>
    <w:p>
      <w:r>
        <w:t>Trough reversal follows the model launch. See https://openai.com/blog/chatgpt</w:t>
      </w:r>
    </w:p>
    <w:p>
      <w:pPr>
        <w:pStyle w:val="ListBullet"/>
      </w:pPr>
      <w:r>
        <w:rPr>
          <w:b/>
        </w:rPr>
        <w:t xml:space="preserve">Major model release ignites demand [high] (2023-01-16) — </w:t>
      </w:r>
      <w:r>
        <w:t>A landmark AI model launch reset demand expectations.</w:t>
      </w:r>
    </w:p>
    <w:p>
      <w:pPr>
        <w:pStyle w:val="ListBullet2"/>
      </w:pPr>
      <w:r>
        <w:t>Sources: https://openai.com/blog/chatgpt</w:t>
      </w:r>
    </w:p>
    <w:p>
      <w:pPr>
        <w:pStyle w:val="Heading2"/>
      </w:pPr>
      <w:r>
        <w:t>2023-02-06 — turning_down</w:t>
      </w:r>
    </w:p>
    <w:p>
      <w:r>
        <w:t>Peak reversal aligns with the guidance cut. See https://example.com/guidance</w:t>
      </w:r>
    </w:p>
    <w:p>
      <w:pPr>
        <w:pStyle w:val="ListBullet"/>
      </w:pPr>
      <w:r>
        <w:rPr>
          <w:b/>
        </w:rPr>
        <w:t xml:space="preserve">Guidance cut spooks the market [medium] (2023-02-06) — </w:t>
      </w:r>
      <w:r>
        <w:t>Weak forward guidance triggered a peak-and-reverse.</w:t>
      </w:r>
    </w:p>
    <w:p>
      <w:pPr>
        <w:pStyle w:val="ListBullet2"/>
      </w:pPr>
      <w:r>
        <w:t>Sources: https://example.com/guidance</w:t>
      </w:r>
    </w:p>
    <w:p>
      <w:pPr>
        <w:pStyle w:val="Heading1"/>
      </w:pPr>
      <w:r>
        <w:t>Sources</w:t>
      </w:r>
    </w:p>
    <w:p>
      <w:pPr>
        <w:pStyle w:val="ListBullet"/>
      </w:pPr>
      <w:r>
        <w:t>Major model release ignites demand: https://openai.com/blog/chatgpt</w:t>
      </w:r>
    </w:p>
    <w:p>
      <w:pPr>
        <w:pStyle w:val="ListBullet"/>
      </w:pPr>
      <w:r>
        <w:t>Guidance cut spooks the market: https://example.com/guidance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