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Gold vs Bitcoin — Multi-Asset Comparison &amp; Backtest</w:t>
      </w:r>
    </w:p>
    <w:p>
      <w:r>
        <w:t>Assets GC=F, BTC-USD over 2023-01-01 .. 2025-01-01. Generated 2026-07-09T09:36:14Z. 502 common trading days.</w:t>
      </w:r>
    </w:p>
    <w:p>
      <w:pPr>
        <w:pStyle w:val="Heading1"/>
      </w:pPr>
      <w:r>
        <w:t>Methodology</w:t>
      </w:r>
    </w:p>
    <w:p>
      <w:r>
        <w:t>All statistics are deterministic and reproduce from the same inputs. Assets are compared on the intersection of their trading dates, so a 7-day-a-week asset and a weekday-only asset are measured on the days both traded. Returns are annualized on a 252-day basis with a zero risk-free rate. Backtests hold target weights and, on each rebalance date, reset to those weights while charging the traded turnover a transaction cost — so rebalancing's frictional drag is modelled, not assumed free.</w:t>
      </w:r>
    </w:p>
    <w:p>
      <w:pPr>
        <w:pStyle w:val="Heading1"/>
      </w:pPr>
      <w:r>
        <w:t>Per-asset performance</w:t>
      </w:r>
    </w:p>
    <w:p>
      <w:pPr>
        <w:pStyle w:val="ListBullet"/>
      </w:pPr>
      <w:r>
        <w:rPr>
          <w:b/>
        </w:rPr>
        <w:t xml:space="preserve">GC=F: </w:t>
      </w:r>
      <w:r>
        <w:t>total +42.9%, CAGR +19.6%, vol 14.1%, Sharpe 1.34, max drawdown -11.3% (2023-05-04 → 2023-10-05).</w:t>
      </w:r>
    </w:p>
    <w:p>
      <w:pPr>
        <w:pStyle w:val="ListBullet"/>
      </w:pPr>
      <w:r>
        <w:rPr>
          <w:b/>
        </w:rPr>
        <w:t xml:space="preserve">BTC-USD: </w:t>
      </w:r>
      <w:r>
        <w:t>total +460.1%, CAGR +137.4%, vol 52.3%, Sharpe 1.92, max drawdown -26.2% (2024-03-13 → 2024-09-06).</w:t>
      </w:r>
    </w:p>
    <w:p>
      <w:pPr>
        <w:pStyle w:val="Heading1"/>
      </w:pPr>
      <w:r>
        <w:t>Strategy backtests</w:t>
      </w:r>
    </w:p>
    <w:p>
      <w:pPr>
        <w:pStyle w:val="Heading2"/>
      </w:pPr>
      <w:r>
        <w:t>monthly-rebalanced portfolio</w:t>
      </w:r>
    </w:p>
    <w:p>
      <w:r>
        <w:t>Weights GC=F 50%, BTC-USD 50%; rebalance monthly; cost 10 bps. Total return +204.3%, CAGR +74.8%, vol 27.8%, Sharpe 2.16, max drawdown -13.2%. 23 rebalances cost 0.28% of capital in frictions.</w:t>
      </w:r>
    </w:p>
    <w:p>
      <w:pPr>
        <w:pStyle w:val="Heading2"/>
      </w:pPr>
      <w:r>
        <w:t>buy &amp; hold (no rebalance)</w:t>
      </w:r>
    </w:p>
    <w:p>
      <w:r>
        <w:t>Weights GC=F 50%, BTC-USD 50%; rebalance none; cost 0 bps. Total return +251.5%, CAGR +87.9%, vol 36.8%, Sharpe 1.90, max drawdown -19.0%. 0 rebalances cost 0.00% of capital in frictions.</w:t>
      </w:r>
    </w:p>
    <w:p>
      <w:pPr>
        <w:pStyle w:val="Heading1"/>
      </w:pPr>
      <w:r>
        <w:t>Correlation</w:t>
      </w:r>
    </w:p>
    <w:p>
      <w:pPr>
        <w:pStyle w:val="ListBullet"/>
      </w:pPr>
      <w:r>
        <w:t>GC=F vs BTC-USD: daily-return Pearson correlation +0.08 over the window (a 60-day rolling series is in the workbook).</w:t>
      </w:r>
    </w:p>
    <w:p>
      <w:pPr>
        <w:pStyle w:val="Heading1"/>
      </w:pPr>
      <w:r>
        <w:t>Sources</w:t>
      </w:r>
    </w:p>
    <w:p>
      <w:pPr>
        <w:pStyle w:val="ListBullet"/>
      </w:pPr>
      <w:r>
        <w:t>GC=F (yahoo): https://finance.yahoo.com/quote/GC=F/history</w:t>
      </w:r>
    </w:p>
    <w:p>
      <w:pPr>
        <w:pStyle w:val="ListBullet"/>
      </w:pPr>
      <w:r>
        <w:t>BTC-USD (yahoo): https://finance.yahoo.com/quote/BTC-USD/history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