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641"/>
        <w:gridCol w:w="542"/>
        <w:gridCol w:w="303"/>
        <w:gridCol w:w="992"/>
        <w:gridCol w:w="284"/>
        <w:gridCol w:w="1275"/>
        <w:gridCol w:w="709"/>
        <w:gridCol w:w="284"/>
        <w:gridCol w:w="3089"/>
      </w:tblGrid>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6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7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9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3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24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1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25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56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9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28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3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30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2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1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40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and payment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7.4 </w:t>
      </w:r>
      <w:r>
        <w:rPr>
          <w:rFonts w:cs="Arial" w:ascii="Arial" w:hAnsi="Arial"/>
          <w:sz w:val="18"/>
          <w:szCs w:val="20"/>
        </w:rPr>
        <w:t xml:space="preserve">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 In the event that the exhibition, event or congress should, for any reason, be closed early or temporarily suspended, regardless of the will of the Organizing Secretariat, no compensation shall be due to the Sponsors on any grounds or for any reason. </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