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3.3 Withdrawal from participation and cancellations</w:t>
      </w:r>
    </w:p>
    <w:p>
      <w:pPr>
        <w:pStyle w:val="Normal"/>
        <w:spacing w:before="0" w:after="0" w:line="230" w:lineRule="auto"/>
        <w:jc w:val="both"/>
        <w:rPr>
          <w:rFonts w:ascii="Calibri" w:hAnsi="Calibri" w:cs="Calibri"/>
          <w:b/>
          <w:b/>
          <w:bCs/>
        </w:rPr>
      </w:pPr>
      <w:r>
        <w:rPr>
          <w:rFonts w:cs="Arial" w:ascii="Arial" w:hAnsi="Arial"/>
          <w:iCs/>
          <w:sz w:val="18"/>
        </w:rPr>
        <w:t>The Sponsor's withdrawal from participation in the event must be notified to the Organizing Secretariat by PEC or registered letter with return receipt to the addresses indicated in this agreement. For the purposes of the terms set out below, the date of receipt of the notice shall prevail.</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at least 30 days before the start of the event and constitute a breach attributable to the Sponsor, the Organizing Secretariat may withdraw from the agreement by written notice and retain the confirmatory deposit provided for in Annex 1 as agreed liquidation of damages pursuant to art. 1385, second paragraph, of the Italian Civil Code. In such case, any sums already paid in excess of the deposit shall be refunded to the Sponsor.</w:t>
      </w:r>
    </w:p>
    <w:p>
      <w:pPr>
        <w:pStyle w:val="Normal"/>
        <w:spacing w:before="0" w:after="0" w:line="230" w:lineRule="auto"/>
        <w:jc w:val="both"/>
        <w:rPr>
          <w:rFonts w:ascii="Calibri" w:hAnsi="Calibri" w:cs="Calibri"/>
          <w:b/>
          <w:b/>
          <w:bCs/>
        </w:rPr>
      </w:pPr>
      <w:r>
        <w:rPr>
          <w:rFonts w:cs="Arial" w:ascii="Arial" w:hAnsi="Arial"/>
          <w:iCs/>
          <w:sz w:val="18"/>
        </w:rPr>
        <w:t>Should the total withdrawal be received less than 30 days before the start of the event and constitute a breach attributable to the Sponsor, the Organizing Secretariat may request the termination of the agreement and the payment, as a penalty pursuant to art. 1382 of the Italian Civil Code, of an amount equal to 100% of the total amount indicated in Annex 1, taken as the calculation basis including VAT. All sums already paid by the Sponsor in relation to the agreement, including the confirmatory deposit, shall be deducted from the penalty; only any remaining difference shall therefore be due. The application of this penalty is an alternative to withdrawal with retention of the confirmatory deposit and shall not be cumulated with it.</w:t>
      </w:r>
    </w:p>
    <w:p>
      <w:pPr>
        <w:pStyle w:val="Normal"/>
        <w:spacing w:before="0" w:after="0" w:line="230" w:lineRule="auto"/>
        <w:jc w:val="both"/>
        <w:rPr>
          <w:rFonts w:ascii="Calibri" w:hAnsi="Calibri" w:cs="Calibri"/>
          <w:b/>
          <w:b/>
          <w:bCs/>
        </w:rPr>
      </w:pPr>
      <w:r>
        <w:rPr>
          <w:rFonts w:cs="Arial" w:ascii="Arial" w:hAnsi="Arial"/>
          <w:iCs/>
          <w:sz w:val="18"/>
        </w:rPr>
        <w:t>Requests to reduce the spaces or cancel individual services must be agreed in writing with the Organizing Secretariat, specifying their economic effects. In the absence of a written agreement, the services and amounts originally agreed shall remain unchanged.</w:t>
      </w:r>
    </w:p>
    <w:p>
      <w:pPr>
        <w:pStyle w:val="Normal"/>
        <w:spacing w:before="0" w:after="0" w:line="230" w:lineRule="auto"/>
        <w:jc w:val="both"/>
        <w:rPr>
          <w:rFonts w:ascii="Calibri" w:hAnsi="Calibri" w:cs="Calibri"/>
          <w:b/>
          <w:b/>
          <w:bCs/>
        </w:rPr>
      </w:pPr>
      <w:r>
        <w:rPr>
          <w:rFonts w:cs="Arial" w:ascii="Arial" w:hAnsi="Arial"/>
          <w:iCs/>
          <w:sz w:val="18"/>
        </w:rPr>
        <w:t>The provisions of art. 7 concerning the postponement, reduction or suspension of the event remain unaffected.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The custody and surveillance of the Exhibition Space, and of its contents, during set-up, during the Event and during dismantling are the responsibility of the Sponsor. The Organizing Secretariat is therefore not liable for objects or goods left unattended in the Exhibition Space during the opening and closing hours of the Event. Removing goods and structures during the event is strictly prohibited. Any authorised manual handling of packages does not in any case allow the early dismantling or emptying of the stand.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The Organizing Secretariat shall be entitled to terminate this agreement by operation of law vis-à-vis the Sponsor, pursuant to and for the purposes of art. 1456 of the Italian Civil Code, by notice sent from its PEC address valet@pec.it to the Sponsor's PEC address indicated in this agreement, declaring its intention to avail itself of this clause, should the latter breach any of the undertakings made in the recitals and in articles 1 et seq. of this agreement. Termination shall take effect upon receipt of the notice by the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TERMINATION</w:t>
      </w:r>
    </w:p>
    <w:p>
      <w:pPr>
        <w:pStyle w:val="Normal"/>
        <w:spacing w:before="0" w:after="0" w:line="230" w:lineRule="auto"/>
        <w:jc w:val="both"/>
        <w:rPr>
          <w:rFonts w:ascii="Calibri" w:hAnsi="Calibri" w:cs="Calibri"/>
          <w:b/>
          <w:b/>
          <w:bCs/>
        </w:rPr>
      </w:pPr>
      <w:r>
        <w:rPr>
          <w:rFonts w:cs="Arial" w:ascii="Arial" w:hAnsi="Arial"/>
          <w:iCs/>
          <w:sz w:val="18"/>
        </w:rPr>
        <w:t>Any breach of the provisions of articles 2, 3, 4, 5, 6, 8, 9, 10, 11, 12, 13 and 14 shall entitle the Organizing Secretariat to unilaterally terminate this agreement with immediate effect pursuant to art. 1456 of the Italian Civil Code, by notice sent by registered letter with return receipt and/or certified e-mail (PEC), declaring its intention to avail itself of this express termination clause, without prejudice to compensation for any damages suffered.</w:t>
      </w:r>
    </w:p>
    <w:p>
      <w:pPr>
        <w:pStyle w:val="Normal"/>
        <w:spacing w:before="0" w:after="0" w:line="230" w:lineRule="auto"/>
        <w:jc w:val="both"/>
        <w:rPr>
          <w:rFonts w:ascii="Calibri" w:hAnsi="Calibri" w:cs="Calibri"/>
          <w:b/>
          <w:b/>
          <w:bCs/>
        </w:rPr>
      </w:pPr>
      <w:r>
        <w:rPr>
          <w:rFonts w:cs="Arial" w:ascii="Arial" w:hAnsi="Arial"/>
          <w:iCs/>
          <w:sz w:val="18"/>
        </w:rPr>
        <w:t>Should the Organizing Secretariat exercise its right of termination during the Event, the Sponsor shall immediately cease all activities within the Exhibition Space and vacate it within the time indicated by the Organizing Secretariat. In this regard the Sponsor waives any objection, reserving the protection of its rights to any subsequent legal proceedings.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REPRODUCTION RIGHTS</w:t>
      </w:r>
    </w:p>
    <w:p>
      <w:pPr>
        <w:pStyle w:val="Normal"/>
        <w:spacing w:before="0" w:after="0" w:line="230" w:lineRule="auto"/>
        <w:jc w:val="both"/>
        <w:rPr>
          <w:rFonts w:ascii="Calibri" w:hAnsi="Calibri" w:cs="Calibri"/>
          <w:b/>
          <w:b/>
          <w:bCs/>
        </w:rPr>
      </w:pPr>
      <w:r>
        <w:rPr>
          <w:rFonts w:cs="Arial" w:ascii="Arial" w:hAnsi="Arial"/>
          <w:iCs/>
          <w:sz w:val="18"/>
        </w:rPr>
        <w:t>The Sponsor gives its prior consent to the Organizing Secretariat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exhibition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 except for the activities expressly provided for in Annex 1 or authorised in writing by the Organizing Secretariat.</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Exemption from liability and insurance obligations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In addition to the provisions above, the Organizing Secretariat and the Congress Centre are expressly exempted from any liability, whether contractual or non-contractual, towards the Sponsors (including their employees or collaborators and the suppliers/stand builders appointed by them), the carriers of goods, the participants in the event and third parties in general for:</w:t>
      </w:r>
    </w:p>
    <w:p>
      <w:pPr>
        <w:pStyle w:val="Normal"/>
        <w:spacing w:before="0" w:after="0" w:line="230" w:lineRule="auto"/>
        <w:jc w:val="both"/>
        <w:rPr>
          <w:rFonts w:ascii="Calibri" w:hAnsi="Calibri" w:cs="Calibri"/>
          <w:b/>
          <w:b/>
          <w:bCs/>
        </w:rPr>
      </w:pPr>
      <w:r>
        <w:rPr>
          <w:rFonts w:cs="Arial" w:ascii="Arial" w:hAnsi="Arial"/>
          <w:iCs/>
          <w:sz w:val="18"/>
        </w:rPr>
        <w:t>– theft of materials;</w:t>
      </w:r>
    </w:p>
    <w:p>
      <w:pPr>
        <w:pStyle w:val="Normal"/>
        <w:spacing w:before="0" w:after="0" w:line="230" w:lineRule="auto"/>
        <w:jc w:val="both"/>
        <w:rPr>
          <w:rFonts w:ascii="Calibri" w:hAnsi="Calibri" w:cs="Calibri"/>
          <w:b/>
          <w:b/>
          <w:bCs/>
        </w:rPr>
      </w:pPr>
      <w:r>
        <w:rPr>
          <w:rFonts w:cs="Arial" w:ascii="Arial" w:hAnsi="Arial"/>
          <w:iCs/>
          <w:sz w:val="18"/>
        </w:rPr>
        <w:t>– damage resulting from theft or damage from any cause (including fire) to materials of any kind;</w:t>
      </w:r>
    </w:p>
    <w:p>
      <w:pPr>
        <w:pStyle w:val="Normal"/>
        <w:spacing w:before="0" w:after="0" w:line="230" w:lineRule="auto"/>
        <w:jc w:val="both"/>
        <w:rPr>
          <w:rFonts w:ascii="Calibri" w:hAnsi="Calibri" w:cs="Calibri"/>
          <w:b/>
          <w:b/>
          <w:bCs/>
        </w:rPr>
      </w:pPr>
      <w:r>
        <w:rPr>
          <w:rFonts w:cs="Arial" w:ascii="Arial" w:hAnsi="Arial"/>
          <w:iCs/>
          <w:sz w:val="18"/>
        </w:rPr>
        <w:t>– improper and unauthorised use of equipment, furnishings, machinery and systems of the Organizing Secretariat and of the Congress Centre during the period of stay in their facilities.</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The Sponsor shall be liable for all damage directly or indirectly caused to the Organizing Secretariat, the Congress Centre, the Sponsors and any other third party by the Sponsor, its employees, auxiliaries and/or collaborators during the Event.</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Compensation for damage that the Sponsors and the Contractors (including their employees and/or collaborators), the participants and third parties in general may suffer and/or cause, directly or indirectly, shall be covered exclusively by an adequate insurance policy which the Sponsor undertakes to take out from the start of the relationship and to keep in force for its entire duration, with a leading insurance company, expressly including in the policy the insurer’s waiver of any action of recourse, subrogation and/or indemnity against the Organizing Secretariat (VALET Srl) and the Congress Centre and their employees or collaborators.</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The Sponsor shall provide the Organizing Secretariat, upon simple request, with a copy of the insurance policies.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Sponsor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Exemption from liability and insurance obligations; 13. Amendments or variations; 14.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