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no. </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r>
      <w:r>
        <w:rPr>
          <w:rFonts w:cs="Arial" w:ascii="Arial" w:hAnsi="Arial"/>
          <w:sz w:val="18"/>
        </w:rPr>
        <w:t>PEC address: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 if event.end_date and event.end_date != event.start_date %}from {{ event.start_date|format_date }} to {{ event.end_date|format_date }}{% else %}on {{ event.start_date|format_date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the success of the event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Normal"/>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Normal"/>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t xml:space="preserve"> </w:t>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3.3 WITHDRAWAL FROM PARTICIPATION AND CANCELLATIONS</w:t>
      </w:r>
    </w:p>
    <w:p>
      <w:pPr>
        <w:pStyle w:val="Normal"/>
        <w:spacing w:before="0" w:after="0" w:line="230" w:lineRule="auto"/>
        <w:jc w:val="both"/>
        <w:rPr>
          <w:rFonts w:ascii="Calibri" w:hAnsi="Calibri" w:cs="Calibri"/>
          <w:b/>
          <w:b/>
          <w:bCs/>
        </w:rPr>
      </w:pPr>
      <w:r>
        <w:rPr>
          <w:rFonts w:cs="Arial" w:ascii="Arial" w:hAnsi="Arial"/>
          <w:iCs/>
          <w:sz w:val="18"/>
        </w:rPr>
        <w:t>The Sponsor's withdrawal from participation in the event must be notified to the Organizing Secretariat by PEC or registered letter with return receipt to the addresses indicated in this agreement. For the purposes of the terms set out below, the date of receipt of the notice shall prevail.</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at least 30 days before the start of the event and constitute a breach attributable to the Sponsor, the Organizing Secretariat may withdraw from the agreement by written notice and retain the confirmatory deposit provided for in Annex 1 as compensation for damages pursuant to art. 1385, second paragraph, of the Italian Civil Code. In such case, any sums already paid in excess of the deposit shall be refunded to the Sponsor.</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less than 30 days before the start of the event and constitute a breach attributable to the Sponsor, the Organizing Secretariat may request the termination of the agreement and the payment, as a penalty pursuant to art. 1382 of the Italian Civil Code, of an amount equal to 100% of the total amount indicated in Annex 1, retaining the sums already paid by the Sponsor and charging the further amount due up to the total cost of participation.</w:t>
      </w:r>
    </w:p>
    <w:p>
      <w:pPr>
        <w:pStyle w:val="Normal"/>
        <w:spacing w:before="0" w:after="0" w:line="230" w:lineRule="auto"/>
        <w:jc w:val="both"/>
        <w:rPr>
          <w:rFonts w:ascii="Calibri" w:hAnsi="Calibri" w:cs="Calibri"/>
          <w:b/>
          <w:b/>
          <w:bCs/>
        </w:rPr>
      </w:pPr>
      <w:r>
        <w:rPr>
          <w:rFonts w:cs="Arial" w:ascii="Arial" w:hAnsi="Arial"/>
          <w:iCs/>
          <w:sz w:val="18"/>
        </w:rPr>
        <w:t>Requests to reduce the spaces or cancel individual services must be agreed in writing with the Organizing Secretariat, specifying their economic effects. In the absence of a written agreement, the services and amounts originally agreed shall remain unchanged.</w:t>
      </w:r>
    </w:p>
    <w:p>
      <w:pPr>
        <w:pStyle w:val="Normal"/>
        <w:spacing w:before="0" w:after="0" w:line="230" w:lineRule="auto"/>
        <w:jc w:val="both"/>
        <w:rPr>
          <w:rFonts w:ascii="Calibri" w:hAnsi="Calibri" w:cs="Calibri"/>
          <w:b/>
          <w:b/>
          <w:bCs/>
        </w:rPr>
      </w:pPr>
      <w:r>
        <w:rPr>
          <w:rFonts w:cs="Arial" w:ascii="Arial" w:hAnsi="Arial"/>
          <w:iCs/>
          <w:sz w:val="18"/>
        </w:rPr>
        <w:t>The provisions of art. 7 concerning the postponement, reduction or suspension of the event remain unaffected.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During the set-up, opening and dismantling phases of the event, the custody and surveillance of the exhibition space and of the goods contained therein are the responsibility of the Sponsor.</w:t>
      </w:r>
    </w:p>
    <w:p>
      <w:pPr>
        <w:pStyle w:val="Normal"/>
        <w:spacing w:before="0" w:after="0" w:line="230" w:lineRule="auto"/>
        <w:jc w:val="both"/>
        <w:rPr/>
      </w:pPr>
      <w:r>
        <w:rPr>
          <w:rFonts w:cs="Arial" w:ascii="Arial" w:hAnsi="Arial"/>
          <w:sz w:val="18"/>
        </w:rPr>
        <w:t>Before leaving the stand and during the closing hours of the event, the Sponsor shall take adequate measures to prevent goods, equipment and other items from remaining freely accessible or easily removable. In particular, cash, valuables, portable devices and small products must be removed or stored in lockable cabinets, containers or compartments. For items that must remain on display, fastening, locking or other protective measures appropriate to their nature must be adopted.</w:t>
      </w:r>
    </w:p>
    <w:p>
      <w:pPr>
        <w:pStyle w:val="Normal"/>
        <w:spacing w:before="0" w:after="0" w:line="230" w:lineRule="auto"/>
        <w:jc w:val="both"/>
        <w:rPr/>
      </w:pPr>
      <w:r>
        <w:rPr>
          <w:rFonts w:cs="Arial" w:ascii="Arial" w:hAnsi="Arial"/>
          <w:sz w:val="18"/>
        </w:rPr>
        <w:t>Any general surveillance of the venue does not constitute a custody service for individual stands or the goods therein. The Organizing Secretariat assumes no custody obligations for such goods; liability for wilful misconduct or gross negligence and any mandatory liability provided for by law remain unaffected.</w:t>
      </w:r>
    </w:p>
    <w:p>
      <w:pPr>
        <w:pStyle w:val="Normal"/>
        <w:spacing w:before="0" w:after="0" w:line="230" w:lineRule="auto"/>
        <w:jc w:val="both"/>
        <w:rPr/>
      </w:pPr>
      <w:r>
        <w:rPr>
          <w:rFonts w:cs="Arial" w:ascii="Arial" w:hAnsi="Arial"/>
          <w:sz w:val="18"/>
        </w:rPr>
        <w:t>Dismantling or emptying the stand before the time scheduled for dismantling is prohibited. The removal of goods for security reasons and any manual handling of packages are permitted, according to the times and methods authorised by the Organizing Secretariat, provided that they do not involve the early dismantling of the exhibition space.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The Sponsor shall be entitled to terminate this agreement by operation of law, pursuant to and for the purposes of art. 1456 of the Italian Civil Code,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The Organizing Secretariat shall be entitled to terminate this agreement by operation of law vis-à-vis the Sponsor, pursuant to and for the purposes of art. 1456 of the Italian Civil Code, by notice sent from its PEC address valet@pec.it to the Sponsor's PEC address indicated in this agreement, declaring its intention to avail itself of this clause, should the latter breach any of the undertakings made in the recitals and in articles 1 et seq. of this agreement. Termination shall take effect upon receipt of the notice by the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The agreement consists of this Agreement, Annex 1 – Application for admission and Annex 2 – Technical Regulations, including the technical forms attached to it (set-up declaration and declaration of conformity of the electrical system). The recitals and the Annexes form an integral and substantial part of the agreement. In the event of conflict between the documents, this Agreement, Annex 1 and Annex 2 shall prevail in that order.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METHODS OF CONTESTATION, SUSPENSION AND TERMINATION</w:t>
      </w:r>
    </w:p>
    <w:p>
      <w:pPr>
        <w:pStyle w:val="Normal"/>
        <w:spacing w:before="0" w:after="0" w:line="230" w:lineRule="auto"/>
        <w:jc w:val="both"/>
        <w:rPr>
          <w:rFonts w:ascii="Calibri" w:hAnsi="Calibri" w:cs="Calibri"/>
          <w:b/>
          <w:b/>
          <w:bCs/>
        </w:rPr>
      </w:pPr>
      <w:r>
        <w:rPr>
          <w:rFonts w:cs="Arial" w:ascii="Arial" w:hAnsi="Arial"/>
          <w:iCs/>
          <w:sz w:val="18"/>
        </w:rPr>
        <w:t>Art. 6 of Annex 2 applies to the contestation of irregularities and the suspension of activities. The cases and methods of termination by means of the express termination clause in favour of the Organizing Secretariat are governed by art. 5.3 of this agreement.</w:t>
      </w:r>
    </w:p>
    <w:p>
      <w:pPr>
        <w:pStyle w:val="Normal"/>
        <w:spacing w:before="0" w:after="0" w:line="230" w:lineRule="auto"/>
        <w:jc w:val="both"/>
        <w:rPr>
          <w:rFonts w:ascii="Calibri" w:hAnsi="Calibri" w:cs="Calibri"/>
          <w:b/>
          <w:b/>
          <w:bCs/>
        </w:rPr>
      </w:pPr>
      <w:r>
        <w:rPr>
          <w:rFonts w:cs="Arial" w:ascii="Arial" w:hAnsi="Arial"/>
          <w:iCs/>
          <w:sz w:val="18"/>
        </w:rPr>
        <w:t>Should termination become effective during the event, the Sponsor shall immediately cease its activities within the exhibition space and vacate it according to the times and methods communicated by the Organizing Secretariat, in compliance with safety conditions.</w:t>
      </w:r>
    </w:p>
    <w:p>
      <w:pPr>
        <w:pStyle w:val="Normal"/>
        <w:spacing w:before="0" w:after="0" w:line="230" w:lineRule="auto"/>
        <w:jc w:val="both"/>
        <w:rPr>
          <w:rFonts w:ascii="Calibri" w:hAnsi="Calibri" w:cs="Calibri"/>
          <w:b/>
          <w:b/>
          <w:bCs/>
        </w:rPr>
      </w:pPr>
      <w:r>
        <w:rPr>
          <w:rFonts w:cs="Arial" w:ascii="Arial" w:hAnsi="Arial"/>
          <w:iCs/>
          <w:sz w:val="18"/>
        </w:rPr>
        <w:t>The other remedies provided for by law and the right to compensation for damages remain unaffected, within the limits and according to the methods provided for by the agreement and by law, without duplication of the sums claimed for the same damage.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Congress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The Sponsor guarantees compliance with the legislation on medical devices and in particular with art. 21, paragraph 3, of Regulation (EU) 2017/745 of the European Parliament and of the Council of 5 April 2017. Any medical devices that do not comply with the legislation or do not bear the CE marking may be exhibited or presented during the event only if accompanied by a clearly visible sign indicating that they are intended solely for presentation or demonstration purposes and cannot be made available until they have been brought into compliance.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and/or variation to this Agreement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this Agreement, the Sponsor declares to have read it and specifically approves its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