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VALET SRL,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641"/>
        <w:gridCol w:w="542"/>
        <w:gridCol w:w="303"/>
        <w:gridCol w:w="992"/>
        <w:gridCol w:w="284"/>
        <w:gridCol w:w="1275"/>
        <w:gridCol w:w="709"/>
        <w:gridCol w:w="284"/>
        <w:gridCol w:w="3089"/>
      </w:tblGrid>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7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9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3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24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25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56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9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28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1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and payment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Term and Termination of the Agreement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Confidentiality and non-disclosure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Further obligations of the Parties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Miscellaneous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7.4 </w:t>
      </w:r>
      <w:r>
        <w:rPr>
          <w:rFonts w:cs="Arial" w:ascii="Arial" w:hAnsi="Arial"/>
          <w:sz w:val="18"/>
          <w:szCs w:val="20"/>
        </w:rPr>
        <w:t xml:space="preserve">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 In the event that the exhibition, event or congress should, for any reason, be closed early or temporarily suspended, regardless of the will of the Organizing Secretariat, no compensation shall be due to the Sponsors on any grounds or for any reason. </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VALET SRL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