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 L’eventuale movimentazione a mano di colli, ove autorizzata, non consente in alcun caso lo smontaggio o lo svuotamento anticipato dello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