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{{ organizer_name or "VALET SRL" }},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con gli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jc w:val="both"/>
      </w:pPr>
      <w:r>
        <w:rPr>
          <w:rFonts w:ascii="Arial" w:hAnsi="Arial" w:cs="Arial"/>
          <w:b w:val="0"/>
          <w:sz w:val="18"/>
        </w:rPr>
        <w:t xml:space="preserve">di seguito denominato </w:t>
      </w:r>
      <w:r>
        <w:rPr>
          <w:rFonts w:ascii="Arial" w:hAnsi="Arial" w:cs="Arial"/>
          <w:b/>
          <w:sz w:val="18"/>
        </w:rPr>
        <w:t>“Sponsor”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}}{% if event.sede_completa %}, {{ event.sede_completa }}{% endif %} che si svolgerà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>La Segreteria Organizzativa si impegna altresì a consentire al personale autorizzato dallo Sponsor l’accesso allo Stand anche al di fuori dell’orario di svolgimento dell’evento, esclusivamente per finalità pratico-organizzative e comunque nei limiti degli orari messi a disposizione dalla Segreteria per gli Sponsor.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1.8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 e modalità di pagamento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7.4 </w:t>
      </w:r>
      <w:r>
        <w:rPr>
          <w:rFonts w:cs="Arial" w:ascii="Arial" w:hAnsi="Arial"/>
          <w:sz w:val="18"/>
          <w:szCs w:val="20"/>
        </w:rPr>
        <w:t xml:space="preserve">Nel caso in cui la manifestazione, evento, congresso,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manifestazione, evento, congresso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{{ organizer_name or "VALET SRL" }}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