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Normal"/>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Normal"/>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t xml:space="preserve"> </w:t>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agreed liquidation of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taken as the calculation basis including VAT. All sums already paid by the Sponsor in relation to the agreement, including the confirmatory deposit, shall be deducted from the penalty; only any remaining difference shall therefore be due. The application of this penalty is an alternative to withdrawal with retention of the confirmatory deposit and shall not be cumulated with it.</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 Any authorised manual handling of packages does not in any case allow the early dismantling or emptying of the stand.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The Organizing Secretariat shall be entitled to terminate this agreement by operation of law vis-à-vis the Sponsor, pursuant to and for the purposes of art. 1456 of the Italian Civil Code, by notice sent from its PEC address valet@pec.it to the Sponsor's PEC address indicated in this agreement, declaring its intention to avail itself of this clause, should the latter breach any of the undertakings made in the recitals and in articles 1 et seq. of this agreement. Termination shall take effect upon receipt of the notice by the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METHODS OF CONTESTATION, SUSPENSION AND TERMINATION</w:t>
      </w:r>
    </w:p>
    <w:p>
      <w:pPr>
        <w:pStyle w:val="Normal"/>
        <w:spacing w:before="0" w:after="0" w:line="230" w:lineRule="auto"/>
        <w:jc w:val="both"/>
        <w:rPr>
          <w:rFonts w:ascii="Calibri" w:hAnsi="Calibri" w:cs="Calibri"/>
          <w:b/>
          <w:b/>
          <w:bCs/>
        </w:rPr>
      </w:pPr>
      <w:r>
        <w:rPr>
          <w:rFonts w:cs="Arial" w:ascii="Arial" w:hAnsi="Arial"/>
          <w:iCs/>
          <w:sz w:val="18"/>
        </w:rPr>
        <w:t>Art. 6 of Annex 2 applies to the contestation of irregularities and the suspension of activities. The cases and methods of termination by means of the express termination clause in favour of the Organizing Secretariat are governed by art. 5.3 of this agreement.</w:t>
      </w:r>
    </w:p>
    <w:p>
      <w:pPr>
        <w:pStyle w:val="Normal"/>
        <w:spacing w:before="0" w:after="0" w:line="230" w:lineRule="auto"/>
        <w:jc w:val="both"/>
        <w:rPr>
          <w:rFonts w:ascii="Calibri" w:hAnsi="Calibri" w:cs="Calibri"/>
          <w:b/>
          <w:b/>
          <w:bCs/>
        </w:rPr>
      </w:pPr>
      <w:r>
        <w:rPr>
          <w:rFonts w:cs="Arial" w:ascii="Arial" w:hAnsi="Arial"/>
          <w:iCs/>
          <w:sz w:val="18"/>
        </w:rPr>
        <w:t>Should termination become effective during the event, the Sponsor shall immediately cease its activities within the exhibition space and vacate it according to the times and methods communicated by the Organizing Secretariat, in compliance with safety conditions.</w:t>
      </w:r>
    </w:p>
    <w:p>
      <w:pPr>
        <w:pStyle w:val="Normal"/>
        <w:spacing w:before="0" w:after="0" w:line="230" w:lineRule="auto"/>
        <w:jc w:val="both"/>
        <w:rPr>
          <w:rFonts w:ascii="Calibri" w:hAnsi="Calibri" w:cs="Calibri"/>
          <w:b/>
          <w:b/>
          <w:bCs/>
        </w:rPr>
      </w:pPr>
      <w:r>
        <w:rPr>
          <w:rFonts w:cs="Arial" w:ascii="Arial" w:hAnsi="Arial"/>
          <w:iCs/>
          <w:sz w:val="18"/>
        </w:rPr>
        <w:t>The other remedies provided for by law and the right to compensation for damages remain unaffected, within the limits and according to the methods provided for by the agreement and by law, without duplication of the sums claimed for the same damage.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The Sponsor guarantees compliance with the legislation on medical devices and in particular with art. 21, paragraph 3, of Regulation (EU) 2017/745 of the European Parliament and of the Council of 5 April 2017. Any medical devices that do not comply with the legislation or do not bear the CE marking may be exhibited or presented during the event only if accompanied by a clearly visible sign indicating that they are intended solely for presentation or demonstration purposes and cannot be made available until they have been brought into compliance.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