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Normal"/>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Normal"/>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t xml:space="preserve"> </w:t>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3.3 Rinuncia alla partecipazione e cancellazioni</w:t>
      </w:r>
    </w:p>
    <w:p>
      <w:pPr>
        <w:pStyle w:val="Normal"/>
        <w:spacing w:before="0" w:after="0" w:line="230" w:lineRule="auto"/>
        <w:jc w:val="both"/>
        <w:rPr>
          <w:rFonts w:ascii="Calibri" w:hAnsi="Calibri" w:cs="Calibri"/>
          <w:b/>
          <w:b/>
          <w:bCs/>
        </w:rPr>
      </w:pPr>
      <w:r>
        <w:rPr>
          <w:rFonts w:cs="Arial" w:ascii="Arial" w:hAnsi="Arial"/>
          <w:iCs/>
          <w:sz w:val="18"/>
        </w:rPr>
        <w:t>La rinuncia dello Sponsor alla partecipazione alla manifestazione dovrà essere comunicata alla Segreteria Organizzativa mediante PEC o lettera raccomandata A/R agli indirizzi indicati nel presente contratto. Ai fini dei termini di seguito previsti farà fede la data di ricezione della comunicazione.</w:t>
      </w:r>
    </w:p>
    <w:p>
      <w:pPr>
        <w:pStyle w:val="Normal"/>
        <w:spacing w:before="0" w:after="0" w:line="230" w:lineRule="auto"/>
        <w:jc w:val="both"/>
        <w:rPr>
          <w:rFonts w:ascii="Calibri" w:hAnsi="Calibri" w:cs="Calibri"/>
          <w:b/>
          <w:b/>
          <w:bCs/>
        </w:rPr>
      </w:pPr>
      <w:r>
        <w:rPr>
          <w:rFonts w:cs="Arial" w:ascii="Arial" w:hAnsi="Arial"/>
          <w:iCs/>
          <w:sz w:val="18"/>
        </w:rPr>
        <w:t>Qualora la rinuncia totale pervenga almeno 30 giorni prima dell’inizio della manifestazione e costituisca inadempimento imputabile allo Sponsor, la Segreteria Organizzativa potrà recedere dal contratto mediante comunicazione scritta e trattenere la caparra confirmatoria prevista nell’Allegato 1, a titolo di liquidazione convenzionale del danno ai sensi dell’art. 1385, secondo comma, del Codice Civile. In tal caso, le eventuali somme già versate in eccedenza rispetto alla caparra saranno restituite allo Sponsor.</w:t>
      </w:r>
    </w:p>
    <w:p>
      <w:pPr>
        <w:pStyle w:val="Normal"/>
        <w:spacing w:before="0" w:after="0" w:line="230" w:lineRule="auto"/>
        <w:jc w:val="both"/>
        <w:rPr>
          <w:rFonts w:ascii="Calibri" w:hAnsi="Calibri" w:cs="Calibri"/>
          <w:b/>
          <w:b/>
          <w:bCs/>
        </w:rPr>
      </w:pPr>
      <w:r>
        <w:rPr>
          <w:rFonts w:cs="Arial" w:ascii="Arial" w:hAnsi="Arial"/>
          <w:iCs/>
          <w:sz w:val="18"/>
        </w:rPr>
        <w:t>Qualora la rinuncia totale pervenga meno di 30 giorni prima dell’inizio della manifestazione e costituisca inadempimento imputabile allo Sponsor, la Segreteria Organizzativa potrà chiedere la risoluzione del contratto e il pagamento, a titolo di penale ai sensi dell’art. 1382 del Codice Civile, di una somma pari al 100% dell’importo complessivo indicato nell’Allegato 1, assunto come base di calcolo comprensiva di IVA. Dall’importo della penale saranno detratte tutte le somme già versate dallo Sponsor in relazione al contratto, compresa la caparra confirmatoria; sarà pertanto dovuta esclusivamente l’eventuale differenza. L’applicazione di questa penale è alternativa al recesso con trattenuta della caparra confirmatoria e non si cumula con esso.</w:t>
      </w:r>
    </w:p>
    <w:p>
      <w:pPr>
        <w:pStyle w:val="Normal"/>
        <w:spacing w:before="0" w:after="0" w:line="230" w:lineRule="auto"/>
        <w:jc w:val="both"/>
        <w:rPr>
          <w:rFonts w:ascii="Calibri" w:hAnsi="Calibri" w:cs="Calibri"/>
          <w:b/>
          <w:b/>
          <w:bCs/>
        </w:rPr>
      </w:pPr>
      <w:r>
        <w:rPr>
          <w:rFonts w:cs="Arial" w:ascii="Arial" w:hAnsi="Arial"/>
          <w:iCs/>
          <w:sz w:val="18"/>
        </w:rPr>
        <w:t>Le richieste di riduzione degli spazi o di cancellazione di singoli servizi dovranno essere concordate per iscritto con la Segreteria Organizzativa, precisandone gli effetti economici. In assenza di accordo scritto, resteranno ferme le prestazioni e gli importi originariamente pattuiti.</w:t>
      </w:r>
    </w:p>
    <w:p>
      <w:pPr>
        <w:pStyle w:val="Normal"/>
        <w:spacing w:before="0" w:after="0" w:line="230" w:lineRule="auto"/>
        <w:jc w:val="both"/>
        <w:rPr>
          <w:rFonts w:ascii="Calibri" w:hAnsi="Calibri" w:cs="Calibri"/>
          <w:b/>
          <w:b/>
          <w:bCs/>
        </w:rPr>
      </w:pPr>
      <w:r>
        <w:rPr>
          <w:rFonts w:cs="Arial" w:ascii="Arial" w:hAnsi="Arial"/>
          <w:iCs/>
          <w:sz w:val="18"/>
        </w:rPr>
        <w:t>Restano ferme le disposizioni dell’art. 7 relative al rinvio, alla riduzione o alla sospensione della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 L’eventuale movimentazione a mano di colli, ove autorizzata, non consente in alcun caso lo smontaggio o lo svuotamento anticipato dello stand.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La Segreteria Organizzativa avrà facoltà di risolvere di diritto il presente contratto nei confronti dello Sponsor, ai sensi e per gli effetti dell’art. 1456 del Codice Civile, mediante comunicazione inviata dalla propria PEC valet@pec.it alla PEC dello Sponsor indicata nel presente contratto, nella quale dichiari di volersi avvalere della presente clausola, qualora quest’ultimo violi uno qualsiasi degli impegni assunti in premessa e negli artt. 1 e seguenti del presente contratto. La risoluzione avrà effetto al momento della ricezione della comunicazione da parte dello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CONTESTAZIONE, SOSPENSIONE E RISOLUZIONE</w:t>
      </w:r>
    </w:p>
    <w:p>
      <w:pPr>
        <w:pStyle w:val="Normal"/>
        <w:spacing w:before="0" w:after="0" w:line="230" w:lineRule="auto"/>
        <w:jc w:val="both"/>
        <w:rPr>
          <w:rFonts w:ascii="Calibri" w:hAnsi="Calibri" w:cs="Calibri"/>
          <w:b/>
          <w:b/>
          <w:bCs/>
        </w:rPr>
      </w:pPr>
      <w:r>
        <w:rPr>
          <w:rFonts w:cs="Arial" w:ascii="Arial" w:hAnsi="Arial"/>
          <w:iCs/>
          <w:sz w:val="18"/>
        </w:rPr>
        <w:t>Per la contestazione delle irregolarità e la sospensione delle attività si applica l’art. 6 dell’Allegato 2. Le ipotesi e le modalità di risoluzione mediante clausola risolutiva espressa a favore della Segreteria Organizzativa sono disciplinate dall’art. 5.3 del presente contratto.</w:t>
      </w:r>
    </w:p>
    <w:p>
      <w:pPr>
        <w:pStyle w:val="Normal"/>
        <w:spacing w:before="0" w:after="0" w:line="230" w:lineRule="auto"/>
        <w:jc w:val="both"/>
        <w:rPr>
          <w:rFonts w:ascii="Calibri" w:hAnsi="Calibri" w:cs="Calibri"/>
          <w:b/>
          <w:b/>
          <w:bCs/>
        </w:rPr>
      </w:pPr>
      <w:r>
        <w:rPr>
          <w:rFonts w:cs="Arial" w:ascii="Arial" w:hAnsi="Arial"/>
          <w:iCs/>
          <w:sz w:val="18"/>
        </w:rPr>
        <w:t>Qualora la risoluzione divenga efficace durante la manifestazione, lo Sponsor dovrà cessare immediatamente le attività all’interno dello spazio espositivo e provvedere allo sgombero secondo i tempi e le modalità comunicati dalla Segreteria Organizzativa, nel rispetto delle condizioni di sicurezza.</w:t>
      </w:r>
    </w:p>
    <w:p>
      <w:pPr>
        <w:pStyle w:val="Normal"/>
        <w:spacing w:before="0" w:after="0" w:line="230" w:lineRule="auto"/>
        <w:jc w:val="both"/>
        <w:rPr>
          <w:rFonts w:ascii="Calibri" w:hAnsi="Calibri" w:cs="Calibri"/>
          <w:b/>
          <w:b/>
          <w:bCs/>
        </w:rPr>
      </w:pPr>
      <w:r>
        <w:rPr>
          <w:rFonts w:cs="Arial" w:ascii="Arial" w:hAnsi="Arial"/>
          <w:iCs/>
          <w:sz w:val="18"/>
        </w:rPr>
        <w:t>Restano fermi gli altri rimedi previsti dalla legge e il diritto al risarcimento dei danni nei limiti e secondo le modalità previsti dal contratto e dalla legge, senza duplicazione delle somme richieste per il medesimo danno.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Lo Sponsor garantisce il rispetto della normativa sui dispositivi medici e in particolare dell’art. 21, paragrafo 3, del Regolamento (UE) 2017/745 del Parlamento europeo e del Consiglio del 5 aprile 2017. Eventuali dispositivi medici non conformi alla normativa o privi della marcatura CE potranno essere esposti o presentati durante la manifestazione solo se accompagnati da un’indicazione ben visibile da cui risulti chiaramente che sono destinati unicamente alla presentazione o alla dimostrazione e che non possono essere messi a disposizione prima di essere stati resi conformi.</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