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VALET SRL,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641"/>
        <w:gridCol w:w="542"/>
        <w:gridCol w:w="303"/>
        <w:gridCol w:w="992"/>
        <w:gridCol w:w="284"/>
        <w:gridCol w:w="1275"/>
        <w:gridCol w:w="709"/>
        <w:gridCol w:w="284"/>
        <w:gridCol w:w="3089"/>
      </w:tblGrid>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7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9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3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24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25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56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9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28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3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3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1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and payment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Term and Termination of the Agreement </w:t>
      </w:r>
    </w:p>
    <w:p>
      <w:pPr>
        <w:pStyle w:val="Normal"/>
        <w:spacing w:before="0" w:after="0" w:line="230" w:lineRule="auto"/>
        <w:jc w:val="both"/>
        <w:rPr/>
      </w:pPr>
      <w:r>
        <w:rPr>
          <w:rFonts w:cs="Arial" w:ascii="Arial" w:hAnsi="Arial"/>
          <w:b/>
          <w:bCs/>
          <w:sz w:val="18"/>
        </w:rPr>
        <w:t xml:space="preserve">4.1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4.2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4.3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4.4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5. Confidentiality and non-disclosure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5.2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Further obligations of the Parties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Miscellaneous </w:t>
      </w:r>
    </w:p>
    <w:p>
      <w:pPr>
        <w:pStyle w:val="Normal"/>
        <w:spacing w:before="0" w:after="0" w:line="230" w:lineRule="auto"/>
        <w:jc w:val="both"/>
        <w:rPr>
          <w:rFonts w:ascii="Calibri" w:hAnsi="Calibri" w:cs="Calibri"/>
        </w:rPr>
      </w:pPr>
      <w:r>
        <w:rPr>
          <w:rFonts w:cs="Arial" w:ascii="Arial" w:hAnsi="Arial"/>
          <w:b/>
          <w:bCs/>
          <w:sz w:val="18"/>
        </w:rPr>
        <w:t xml:space="preserve">7.1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7.3 </w:t>
      </w:r>
      <w:r>
        <w:rPr>
          <w:rFonts w:cs="Arial" w:ascii="Arial" w:hAnsi="Arial"/>
          <w:sz w:val="18"/>
        </w:rPr>
        <w:t xml:space="preserve">Any dispute that may arise in relation to this Agreement, its interpretation, performance or termination shall be subject to the exclusive jurisdiction of the Court of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7.4 </w:t>
      </w:r>
      <w:r>
        <w:rPr>
          <w:rFonts w:cs="Arial" w:ascii="Arial" w:hAnsi="Arial"/>
          <w:sz w:val="18"/>
          <w:szCs w:val="20"/>
        </w:rPr>
        <w:t xml:space="preserve">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 In the event that the exhibition, event or congress should, for any reason, be closed early or temporarily suspended, regardless of the will of the Organizing Secretariat, no compensation shall be due to the Sponsors on any grounds or for any reason. </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VALET SRL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b/>
                <w:color w:val="000000"/>
                <w:sz w:val="22"/>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