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8"/>
        </w:rPr>
        <w:t xml:space="preserve">{%p if stand_notes %}</w:t>
      </w:r>
    </w:p>
    <w:p>
      <w:r>
        <w:rPr>
          <w:rFonts w:ascii="Arial" w:hAnsi="Arial"/>
          <w:sz w:val="18"/>
          <w:b/>
        </w:rPr>
        <w:t xml:space="preserve">Note sullo spazio espositivo: </w:t>
      </w:r>
      <w:r>
        <w:rPr>
          <w:rFonts w:ascii="Arial" w:hAnsi="Arial"/>
          <w:sz w:val="18"/>
        </w:rPr>
        <w:t xml:space="preserve">{{ stand_notes }}</w:t>
      </w:r>
    </w:p>
    <w:p>
      <w:r>
        <w:rPr>
          <w:rFonts w:ascii="Arial" w:hAnsi="Arial"/>
          <w:sz w:val="18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dello Sponsor.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dello Sponsor a partecipare alla Manifestazione, per qualsiasi motivo, dovrà essere comunicata a mezzo di lettera raccomandata A/R o PEC indirizzata alla Segreteria Organizzativa almeno 30 giorni prima dell'inizio della Manifestazione. {% if has_deposit %}In tal caso la Segreteria Organizzativa ha diritto di trattenere, a titolo di penale, una somma pari al {{ penale_percent }}% dell'importo totale del presente contratto (corrispondente al deposito cauzionale/caparra).{% else %}In tal caso la Segreteria Organizzativa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lo Sponsor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footerReference w:type="default" r:id="rId11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