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no. </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r>
      <w:r>
        <w:rPr>
          <w:rFonts w:cs="Arial" w:ascii="Arial" w:hAnsi="Arial"/>
          <w:sz w:val="18"/>
        </w:rPr>
        <w:t>PEC address: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 if event.end_date and event.end_date != event.start_date %}from {{ event.start_date|format_date }} to {{ event.end_date|format_date }}{% else %}on {{ event.start_date|format_date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The Sponsor shall be entitled to terminate this agreement by operation of law, pursuant to and for the purposes of art. 1456 of the Italian Civil Code,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The agreement consists of this Agreement, Annex 1 – Application for admission and Annex 2 – Technical Regulations, including the technical forms attached to it (set-up declaration and declaration of conformity of the electrical system). The recitals and the Annexes form an integral and substantial part of the agreement. In the event of conflict between the documents, this Agreement, Annex 1 and Annex 2 shall prevail in that order.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Congress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this Agreement, the Sponsor declares to have read it and specifically approves its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