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B4 vol-targeting overlay</w:t>
            </w:r>
            <w:r>
              <w:t xml:space="preserve"> </w:t>
            </w:r>
            <w:r>
              <w:t xml:space="preserve">(vehicle position scaled by</w:t>
            </w:r>
            <w:r>
              <w:t xml:space="preserve"> </w:t>
            </w:r>
            <w:r>
              <w:rPr>
                <w:rStyle w:val="VerbatimChar"/>
              </w:rPr>
              <w:t xml:space="preserve">target_vol/realized_vol</w:t>
            </w:r>
            <w:r>
              <w:t xml:space="preserve">, applied at entry + annual rebalance, vol_target ∈ {15,20,25,30}%, estimator ∈ {HVol20, HVol60, EWMA halflife-20}; 12 combos walk-forward tested)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 or worse on both IS and OOS.</w:t>
            </w:r>
            <w:r>
              <w:t xml:space="preserve"> </w:t>
            </w:r>
            <w:r>
              <w:t xml:space="preserve">vt≥25% never fires (HVol≤16% entry gate already screens calm regimes, so vol_scale = min(1.0, 25/16) = 1.0 → no scaling). vt=15-20% costs CAGR with no Sharpe gain — the strategy's existing HVol gate + BIL cash state + VIX spike exit already do vol-aware sizing, making the overlay redundant. Best OOS candidate ties baseline; IS-winner is also a tie. Evidence:</w:t>
            </w:r>
            <w:r>
              <w:t xml:space="preserve"> </w:t>
            </w:r>
            <w:r>
              <w:rPr>
                <w:rStyle w:val="VerbatimChar"/>
              </w:rPr>
              <w:t xml:space="preserve">test_b4_vol_targeting.py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Hull MA crossover</w:t>
            </w:r>
            <w:r>
              <w:t xml:space="preserve"> </w:t>
            </w:r>
            <w:r>
              <w:t xml:space="preserve">(replace fast WMA with HMA per Hull's formula</w:t>
            </w:r>
            <w:r>
              <w:t xml:space="preserve"> </w:t>
            </w:r>
            <w:r>
              <w:rPr>
                <w:rStyle w:val="VerbatimChar"/>
              </w:rPr>
              <w:t xml:space="preserve">HMA(n) = WMA(2·WMA(n/2) − WMA(n), √n)</w:t>
            </w:r>
            <w:r>
              <w:t xml:space="preserve">, slow leg kept as SMA; per-sleeve sweep of 25 combos each: fast HMA ∈ {5,8,10,13,16}, slow SMA ∈ {100,150,175,200,250}, then joint test of each sleeve's IS-best HMA configuration;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Textbook overfitting — rejected.</w:t>
            </w:r>
            <w:r>
              <w:t xml:space="preserve"> </w:t>
            </w:r>
            <w:r>
              <w:t xml:space="preserve">Joint IS-best (QQQ HMA16/SMA175 + SPY HMA13/SMA250) gained IS Sharpe +0.042 but lost OOS Sharpe −0.182 and</w:t>
            </w:r>
            <w:r>
              <w:t xml:space="preserve"> </w:t>
            </w:r>
            <m:oMath>
              <m:r>
                <m:t>17.5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$51.9M). Every single top-10 candidate in both per-sleeve sweeps lost on OOS — none survived walk-forward. HMA's lower lag amplifies signal noise that the strategy's existing latch + 30-bar cooldown were designed to filter out. (Oxford Strategies' positive HMA result was on 42 raw futures markets without those filters.)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TSMOM (time-series momentum) signal swap</w:t>
            </w:r>
            <w:r>
              <w:t xml:space="preserve"> </w:t>
            </w:r>
            <w:r>
              <w:t xml:space="preserve">(replace entry latch + WMA-cross-above with</w:t>
            </w:r>
            <w:r>
              <w:t xml:space="preserve"> </w:t>
            </w:r>
            <w:r>
              <w:rPr>
                <w:rStyle w:val="VerbatimChar"/>
              </w:rPr>
              <w:t xml:space="preserve">mom[i] &gt; threshold</w:t>
            </w:r>
            <w:r>
              <w:t xml:space="preserve">, replace vehicle exit</w:t>
            </w:r>
            <w:r>
              <w:t xml:space="preserve"> </w:t>
            </w:r>
            <w:r>
              <w:rPr>
                <w:rStyle w:val="VerbatimChar"/>
              </w:rPr>
              <w:t xml:space="preserve">wma_cross_below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mom[i] &lt; threshold</w:t>
            </w:r>
            <w:r>
              <w:t xml:space="preserve">; sweep lookback ∈ {126, 189, 252 bars} × excess-over-BIL ∈ {N, Y} × Antonacci skip-last-21-bars ∈ {N, Y} = 12 candidates; HVol gate, cooldown, TP, hard stop, vol exit, VIX spike, defensive rotation, BIL cash all retained;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decisive rejection in this exploration.</w:t>
            </w:r>
            <w:r>
              <w:t xml:space="preserve"> </w:t>
            </w:r>
            <w:r>
              <w:t xml:space="preserve">ALL 12 candidates lose on BOTH IS and OOS — no fitted-then-broken pattern, the signal just doesn't work in this context. IS-best (L=126, excess=Y, skip=N) lost IS Sharpe −0.034 and OOS Sharpe −0.310 ($69.4M →</w:t>
            </w:r>
            <w:r>
              <w:t xml:space="preserve"> </w:t>
            </w:r>
            <m:oMath>
              <m:r>
                <m:t>29.6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</m:oMath>
            <w:r>
              <w:t xml:space="preserve">39.7M). Worst combos lost OOS −0.45. Trade churn doubled (142–214 vs baseline 86). Mechanism: TSMOM is slow to confirm entries (misses early bull legs), slow to exit (mom12 doesn't flip negative until weeks into a crash — repeated −12% hard stops on the way down), oscillates around the 0 threshold causing whipsaws the latch+cooldown previously filtered, and is direction-only with no vol awareness (the strategy's HVol gate adds info TSMOM lacks). The Moskowitz/Ooi/Pedersen "Sharpe ~1.0" result is on a diversified 58-instrument portfolio where diversification across uncorrelated markets drives the Sharpe — not from single-asset signal quality.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KAMA (Kaufman Adaptive MA) as fast leg</w:t>
            </w:r>
            <w:r>
              <w:t xml:space="preserve"> </w:t>
            </w:r>
            <w:r>
              <w:t xml:space="preserve">(replace fast WMA with KAMA per Kaufman's formula</w:t>
            </w:r>
            <w:r>
              <w:t xml:space="preserve"> </w:t>
            </w:r>
            <w:r>
              <w:rPr>
                <w:rStyle w:val="VerbatimChar"/>
              </w:rPr>
              <w:t xml:space="preserve">KAMA[i] = KAMA[i-1] + SC[i]·(c[i] − KAMA[i-1])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SC[i] = (ER[i]·(2/3 − 2/31) + 2/31)²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ER[i]</w:t>
            </w:r>
            <w:r>
              <w:t xml:space="preserve"> </w:t>
            </w:r>
            <w:r>
              <w:t xml:space="preserve">is the efficiency ratio over the lookback; slow SMA leg unchanged; per-sleeve sweep of ER ∈ {10, 14, 20} = 3 combos each, then joint test of IS-best;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— every candidate loses on both halves.</w:t>
            </w:r>
            <w:r>
              <w:t xml:space="preserve"> </w:t>
            </w:r>
            <w:r>
              <w:t xml:space="preserve">Joint IS-best (QQQ ER=20 + SPY ER=20) lost IS Sharpe −0.017, OOS Sharpe −0.049,</w:t>
            </w:r>
            <w:r>
              <w:t xml:space="preserve"> </w:t>
            </w:r>
            <m:oMath>
              <m:r>
                <m:t>17.7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$51.6M). All 6 candidates across both per-sleeve sweeps lost on IS and OOS — no overfitting pattern, KAMA just doesn't add value. Mechanism: KAMA's chop-flattening is redundant with the existing latch+cooldown (whipsaws already filtered), while its squared-SC formula caps trend responsiveness even at high efficiency ratio (</w:t>
            </w:r>
            <w:r>
              <w:rPr>
                <w:rStyle w:val="VerbatimChar"/>
              </w:rPr>
              <w:t xml:space="preserve">max SC = (2/3)² = 0.444</w:t>
            </w:r>
            <w:r>
              <w:t xml:space="preserve">), making KAMA inherently slower than WMA(10) in confirmed trends → delayed entries and exits. The StratBase BTC result was on raw moving-average crossovers without latch/cooldown machinery.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2026-05-27T03:01:12Z</dcterms:created>
  <dcterms:modified xsi:type="dcterms:W3CDTF">2026-05-27T03:01:12Z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