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03A6" w:rsidRPr="003740A0" w:rsidRDefault="003740A0" w:rsidP="003740A0">
      <w:pPr>
        <w:jc w:val="center"/>
        <w:rPr>
          <w:rFonts w:ascii="Helvetica" w:hAnsi="Helvetica"/>
          <w:b/>
          <w:sz w:val="28"/>
          <w:szCs w:val="28"/>
        </w:rPr>
      </w:pPr>
      <w:r w:rsidRPr="003740A0">
        <w:rPr>
          <w:rFonts w:ascii="Helvetica" w:hAnsi="Helvetica"/>
          <w:b/>
          <w:sz w:val="28"/>
          <w:szCs w:val="28"/>
        </w:rPr>
        <w:t>Earthquake Data Analysis</w:t>
      </w:r>
    </w:p>
    <w:p w:rsidR="003740A0" w:rsidRDefault="003740A0" w:rsidP="003740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earthquake data analysis was performed on a dataset from USGS website containing one month </w:t>
      </w:r>
      <w:r w:rsidR="00E52B85">
        <w:rPr>
          <w:rFonts w:ascii="Times New Roman" w:hAnsi="Times New Roman" w:cs="Times New Roman"/>
          <w:sz w:val="24"/>
          <w:szCs w:val="24"/>
        </w:rPr>
        <w:t xml:space="preserve">GeoJSON </w:t>
      </w:r>
      <w:r>
        <w:rPr>
          <w:rFonts w:ascii="Times New Roman" w:hAnsi="Times New Roman" w:cs="Times New Roman"/>
          <w:sz w:val="24"/>
          <w:szCs w:val="24"/>
        </w:rPr>
        <w:t>data with earthquakes of magnitude greater than 2.5.</w:t>
      </w:r>
      <w:r w:rsidR="00E52B85">
        <w:rPr>
          <w:rFonts w:ascii="Times New Roman" w:hAnsi="Times New Roman" w:cs="Times New Roman"/>
          <w:sz w:val="24"/>
          <w:szCs w:val="24"/>
        </w:rPr>
        <w:t xml:space="preserve"> This dataset contain feature</w:t>
      </w:r>
      <w:r w:rsidR="00010DDA">
        <w:rPr>
          <w:rFonts w:ascii="Times New Roman" w:hAnsi="Times New Roman" w:cs="Times New Roman"/>
          <w:sz w:val="24"/>
          <w:szCs w:val="24"/>
        </w:rPr>
        <w:t xml:space="preserve"> collection</w:t>
      </w:r>
      <w:r w:rsidR="00E52B85">
        <w:rPr>
          <w:rFonts w:ascii="Times New Roman" w:hAnsi="Times New Roman" w:cs="Times New Roman"/>
          <w:sz w:val="24"/>
          <w:szCs w:val="24"/>
        </w:rPr>
        <w:t xml:space="preserve">s </w:t>
      </w:r>
      <w:r w:rsidR="00010DDA">
        <w:rPr>
          <w:rFonts w:ascii="Times New Roman" w:hAnsi="Times New Roman" w:cs="Times New Roman"/>
          <w:sz w:val="24"/>
          <w:szCs w:val="24"/>
        </w:rPr>
        <w:t>and features only. E</w:t>
      </w:r>
      <w:r w:rsidR="00E52B85">
        <w:rPr>
          <w:rFonts w:ascii="Times New Roman" w:hAnsi="Times New Roman" w:cs="Times New Roman"/>
          <w:sz w:val="24"/>
          <w:szCs w:val="24"/>
        </w:rPr>
        <w:t>ach feature provid</w:t>
      </w:r>
      <w:r w:rsidR="00010DDA">
        <w:rPr>
          <w:rFonts w:ascii="Times New Roman" w:hAnsi="Times New Roman" w:cs="Times New Roman"/>
          <w:sz w:val="24"/>
          <w:szCs w:val="24"/>
        </w:rPr>
        <w:t>ed</w:t>
      </w:r>
      <w:r w:rsidR="00E52B85">
        <w:rPr>
          <w:rFonts w:ascii="Times New Roman" w:hAnsi="Times New Roman" w:cs="Times New Roman"/>
          <w:sz w:val="24"/>
          <w:szCs w:val="24"/>
        </w:rPr>
        <w:t xml:space="preserve"> the magnitude and place of the earth quake</w:t>
      </w:r>
      <w:r w:rsidR="00010DDA">
        <w:rPr>
          <w:rFonts w:ascii="Times New Roman" w:hAnsi="Times New Roman" w:cs="Times New Roman"/>
          <w:sz w:val="24"/>
          <w:szCs w:val="24"/>
        </w:rPr>
        <w:t xml:space="preserve"> information</w:t>
      </w:r>
      <w:r w:rsidR="00E52B85">
        <w:rPr>
          <w:rFonts w:ascii="Times New Roman" w:hAnsi="Times New Roman" w:cs="Times New Roman"/>
          <w:sz w:val="24"/>
          <w:szCs w:val="24"/>
        </w:rPr>
        <w:t>. These features were used to add circle markers on a leaflet</w:t>
      </w:r>
      <w:r w:rsidR="009243E7">
        <w:rPr>
          <w:rFonts w:ascii="Times New Roman" w:hAnsi="Times New Roman" w:cs="Times New Roman"/>
          <w:sz w:val="24"/>
          <w:szCs w:val="24"/>
        </w:rPr>
        <w:t xml:space="preserve"> mapped</w:t>
      </w:r>
      <w:r w:rsidR="00E52B85">
        <w:rPr>
          <w:rFonts w:ascii="Times New Roman" w:hAnsi="Times New Roman" w:cs="Times New Roman"/>
          <w:sz w:val="24"/>
          <w:szCs w:val="24"/>
        </w:rPr>
        <w:t xml:space="preserve"> page. The markers increase in </w:t>
      </w:r>
      <w:r w:rsidR="001C4DCE">
        <w:rPr>
          <w:rFonts w:ascii="Times New Roman" w:hAnsi="Times New Roman" w:cs="Times New Roman"/>
          <w:sz w:val="24"/>
          <w:szCs w:val="24"/>
        </w:rPr>
        <w:t xml:space="preserve">size </w:t>
      </w:r>
      <w:r w:rsidR="00E52B85">
        <w:rPr>
          <w:rFonts w:ascii="Times New Roman" w:hAnsi="Times New Roman" w:cs="Times New Roman"/>
          <w:sz w:val="24"/>
          <w:szCs w:val="24"/>
        </w:rPr>
        <w:t>as the magnitudes increase.</w:t>
      </w:r>
      <w:r w:rsidR="009243E7">
        <w:rPr>
          <w:rFonts w:ascii="Times New Roman" w:hAnsi="Times New Roman" w:cs="Times New Roman"/>
          <w:sz w:val="24"/>
          <w:szCs w:val="24"/>
        </w:rPr>
        <w:t xml:space="preserve"> The colors on the map are indicated using legends on the bottom right hand side </w:t>
      </w:r>
      <w:r w:rsidR="00CC3870">
        <w:rPr>
          <w:rFonts w:ascii="Times New Roman" w:hAnsi="Times New Roman" w:cs="Times New Roman"/>
          <w:sz w:val="24"/>
          <w:szCs w:val="24"/>
        </w:rPr>
        <w:t xml:space="preserve">of the map </w:t>
      </w:r>
      <w:r w:rsidR="009243E7">
        <w:rPr>
          <w:rFonts w:ascii="Times New Roman" w:hAnsi="Times New Roman" w:cs="Times New Roman"/>
          <w:sz w:val="24"/>
          <w:szCs w:val="24"/>
        </w:rPr>
        <w:t>while the top right hand side contains options to switch the map between street map and dark map</w:t>
      </w:r>
      <w:r w:rsidR="007E3E92">
        <w:rPr>
          <w:rFonts w:ascii="Times New Roman" w:hAnsi="Times New Roman" w:cs="Times New Roman"/>
          <w:sz w:val="24"/>
          <w:szCs w:val="24"/>
        </w:rPr>
        <w:t xml:space="preserve"> layers</w:t>
      </w:r>
      <w:r w:rsidR="009243E7">
        <w:rPr>
          <w:rFonts w:ascii="Times New Roman" w:hAnsi="Times New Roman" w:cs="Times New Roman"/>
          <w:sz w:val="24"/>
          <w:szCs w:val="24"/>
        </w:rPr>
        <w:t xml:space="preserve">. In addition, a checkbox was provided on the same options to </w:t>
      </w:r>
      <w:r w:rsidR="00F5660E">
        <w:rPr>
          <w:rFonts w:ascii="Times New Roman" w:hAnsi="Times New Roman" w:cs="Times New Roman"/>
          <w:sz w:val="24"/>
          <w:szCs w:val="24"/>
        </w:rPr>
        <w:t>turn on or clear the earthquake markers on the map.</w:t>
      </w:r>
    </w:p>
    <w:p w:rsidR="002E673D" w:rsidRPr="002E673D" w:rsidRDefault="002E673D" w:rsidP="002E673D">
      <w:pPr>
        <w:rPr>
          <w:rFonts w:ascii="Times New Roman" w:hAnsi="Times New Roman" w:cs="Times New Roman"/>
          <w:b/>
          <w:sz w:val="24"/>
          <w:szCs w:val="24"/>
        </w:rPr>
      </w:pPr>
      <w:r w:rsidRPr="002E673D">
        <w:rPr>
          <w:rFonts w:ascii="Times New Roman" w:hAnsi="Times New Roman" w:cs="Times New Roman"/>
          <w:b/>
          <w:sz w:val="24"/>
          <w:szCs w:val="24"/>
        </w:rPr>
        <w:t>Street Map with Markers and Legends</w:t>
      </w: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11859" wp14:editId="112201E7">
            <wp:extent cx="594360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</w:p>
    <w:p w:rsidR="002E673D" w:rsidRPr="002E673D" w:rsidRDefault="002E673D" w:rsidP="002E67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Dark</w:t>
      </w:r>
      <w:r w:rsidRPr="002E673D">
        <w:rPr>
          <w:rFonts w:ascii="Times New Roman" w:hAnsi="Times New Roman" w:cs="Times New Roman"/>
          <w:b/>
          <w:sz w:val="24"/>
          <w:szCs w:val="24"/>
        </w:rPr>
        <w:t xml:space="preserve"> Map with Markers and Legends</w:t>
      </w: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C2E41" wp14:editId="19D72960">
            <wp:extent cx="5943600" cy="30232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</w:p>
    <w:p w:rsidR="002E673D" w:rsidRPr="00067DA2" w:rsidRDefault="00067DA2" w:rsidP="00067DA2">
      <w:pPr>
        <w:jc w:val="center"/>
        <w:rPr>
          <w:rFonts w:ascii="Helvetica" w:hAnsi="Helvetica" w:cs="Times New Roman"/>
          <w:b/>
          <w:sz w:val="28"/>
          <w:szCs w:val="28"/>
        </w:rPr>
      </w:pPr>
      <w:r>
        <w:rPr>
          <w:rFonts w:ascii="Helvetica" w:hAnsi="Helvetica" w:cs="Times New Roman"/>
          <w:b/>
          <w:sz w:val="28"/>
          <w:szCs w:val="28"/>
        </w:rPr>
        <w:t>Conclusion</w:t>
      </w: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Most of earthquakes </w:t>
      </w:r>
      <w:r w:rsidR="00067DA2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re concentrated on the California coast and a few towards Oregon coast. A few more </w:t>
      </w:r>
      <w:r w:rsidR="00067DA2">
        <w:rPr>
          <w:rFonts w:ascii="Times New Roman" w:hAnsi="Times New Roman" w:cs="Times New Roman"/>
          <w:sz w:val="24"/>
          <w:szCs w:val="24"/>
        </w:rPr>
        <w:t>we</w:t>
      </w:r>
      <w:r>
        <w:rPr>
          <w:rFonts w:ascii="Times New Roman" w:hAnsi="Times New Roman" w:cs="Times New Roman"/>
          <w:sz w:val="24"/>
          <w:szCs w:val="24"/>
        </w:rPr>
        <w:t xml:space="preserve">re well concentrated in the Oklahoma region. The higher magnitude earthquakes occurred on the California and Oregon coast indicated by </w:t>
      </w:r>
      <w:r w:rsidR="001572FE">
        <w:rPr>
          <w:rFonts w:ascii="Times New Roman" w:hAnsi="Times New Roman" w:cs="Times New Roman"/>
          <w:sz w:val="24"/>
          <w:szCs w:val="24"/>
        </w:rPr>
        <w:t>bigger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circles.</w:t>
      </w: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</w:p>
    <w:p w:rsidR="002E673D" w:rsidRDefault="002E673D" w:rsidP="003740A0">
      <w:pPr>
        <w:rPr>
          <w:rFonts w:ascii="Times New Roman" w:hAnsi="Times New Roman" w:cs="Times New Roman"/>
          <w:sz w:val="24"/>
          <w:szCs w:val="24"/>
        </w:rPr>
      </w:pPr>
    </w:p>
    <w:p w:rsidR="007E3E92" w:rsidRDefault="007E3E92" w:rsidP="003740A0">
      <w:pPr>
        <w:rPr>
          <w:rFonts w:ascii="Times New Roman" w:hAnsi="Times New Roman" w:cs="Times New Roman"/>
          <w:sz w:val="24"/>
          <w:szCs w:val="24"/>
        </w:rPr>
      </w:pPr>
    </w:p>
    <w:p w:rsidR="00F5660E" w:rsidRDefault="00F5660E" w:rsidP="003740A0">
      <w:pPr>
        <w:rPr>
          <w:rFonts w:ascii="Times New Roman" w:hAnsi="Times New Roman" w:cs="Times New Roman"/>
          <w:sz w:val="24"/>
          <w:szCs w:val="24"/>
        </w:rPr>
      </w:pPr>
    </w:p>
    <w:p w:rsidR="009243E7" w:rsidRDefault="009243E7" w:rsidP="003740A0">
      <w:pPr>
        <w:rPr>
          <w:rFonts w:ascii="Times New Roman" w:hAnsi="Times New Roman" w:cs="Times New Roman"/>
          <w:sz w:val="24"/>
          <w:szCs w:val="24"/>
        </w:rPr>
      </w:pPr>
    </w:p>
    <w:p w:rsidR="00ED23E2" w:rsidRDefault="00ED23E2" w:rsidP="003740A0">
      <w:pPr>
        <w:rPr>
          <w:rFonts w:ascii="Times New Roman" w:hAnsi="Times New Roman" w:cs="Times New Roman"/>
          <w:sz w:val="24"/>
          <w:szCs w:val="24"/>
        </w:rPr>
      </w:pPr>
    </w:p>
    <w:p w:rsidR="00ED23E2" w:rsidRPr="003740A0" w:rsidRDefault="00ED23E2" w:rsidP="003740A0">
      <w:pPr>
        <w:rPr>
          <w:rFonts w:ascii="Times New Roman" w:hAnsi="Times New Roman" w:cs="Times New Roman"/>
          <w:sz w:val="24"/>
          <w:szCs w:val="24"/>
        </w:rPr>
      </w:pPr>
    </w:p>
    <w:sectPr w:rsidR="00ED23E2" w:rsidRPr="00374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F66C8" w:rsidRDefault="00EF66C8" w:rsidP="003740A0">
      <w:pPr>
        <w:spacing w:after="0" w:line="240" w:lineRule="auto"/>
      </w:pPr>
      <w:r>
        <w:separator/>
      </w:r>
    </w:p>
  </w:endnote>
  <w:endnote w:type="continuationSeparator" w:id="0">
    <w:p w:rsidR="00EF66C8" w:rsidRDefault="00EF66C8" w:rsidP="003740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F66C8" w:rsidRDefault="00EF66C8" w:rsidP="003740A0">
      <w:pPr>
        <w:spacing w:after="0" w:line="240" w:lineRule="auto"/>
      </w:pPr>
      <w:r>
        <w:separator/>
      </w:r>
    </w:p>
  </w:footnote>
  <w:footnote w:type="continuationSeparator" w:id="0">
    <w:p w:rsidR="00EF66C8" w:rsidRDefault="00EF66C8" w:rsidP="003740A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0A0"/>
    <w:rsid w:val="00010DDA"/>
    <w:rsid w:val="00067DA2"/>
    <w:rsid w:val="001572FE"/>
    <w:rsid w:val="00161C1E"/>
    <w:rsid w:val="001C4DCE"/>
    <w:rsid w:val="0021671B"/>
    <w:rsid w:val="002E673D"/>
    <w:rsid w:val="00302718"/>
    <w:rsid w:val="003740A0"/>
    <w:rsid w:val="00535489"/>
    <w:rsid w:val="007703A6"/>
    <w:rsid w:val="007E3E92"/>
    <w:rsid w:val="009243E7"/>
    <w:rsid w:val="00961966"/>
    <w:rsid w:val="00BA7D58"/>
    <w:rsid w:val="00C21281"/>
    <w:rsid w:val="00CC3870"/>
    <w:rsid w:val="00E52B85"/>
    <w:rsid w:val="00ED23E2"/>
    <w:rsid w:val="00EF66C8"/>
    <w:rsid w:val="00F56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E03BED"/>
  <w15:chartTrackingRefBased/>
  <w15:docId w15:val="{7B494364-C038-4B9B-BE57-05FB0FEF4A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74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40A0"/>
  </w:style>
  <w:style w:type="paragraph" w:styleId="Footer">
    <w:name w:val="footer"/>
    <w:basedOn w:val="Normal"/>
    <w:link w:val="FooterChar"/>
    <w:uiPriority w:val="99"/>
    <w:unhideWhenUsed/>
    <w:rsid w:val="003740A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40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ZGVmYXVsdFZhbHVlIj48ZWxlbWVudCB1aWQ9ImJiYTk0YzY1LWFjM2QtNGYzNC1iMmUxLThkZTExZWY2ZjAxYyIgdmFsdWU9IiIgeG1sbnM9Imh0dHA6Ly93d3cuYm9sZG9uamFtZXMuY29tLzIwMDgvMDEvc2llL2ludGVybmFsL2xhYmVsIiAvPjwvc2lzbD48VXNlck5hbWU+VVNcMTEzMzk2MjwvVXNlck5hbWU+PERhdGVUaW1lPjYvMTMvMjAxOSA2OjIzOjA2IFBNPC9EYXRlVGltZT48TGFiZWxTdHJpbmc+T3JpZ2luIEp1cmlzZGljdGlvbjogVVMgPC9MYWJlbFN0cmluZz48L2l0ZW0+PC9sYWJlbEhpc3Rvcnk+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cde53ac1-bf5f-4aae-9cf1-07509e23a4b0" origin="defaultValue">
  <element uid="bba94c65-ac3d-4f34-b2e1-8de11ef6f01c" value=""/>
</sisl>
</file>

<file path=customXml/itemProps1.xml><?xml version="1.0" encoding="utf-8"?>
<ds:datastoreItem xmlns:ds="http://schemas.openxmlformats.org/officeDocument/2006/customXml" ds:itemID="{4D51274E-FAD2-4C8A-9704-CABFFCA7DEB7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856949CE-AE9C-40D9-9241-63C2E191A3DC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Raytheon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[rtnipcontrolcode:rtnipcontrolcodenone||rtnexportcontrolcountry:usa|rtnexportcontrolcode:rtnexportcontrolcodenone||]</dc:subject>
  <dc:creator>Damodhar Akula</dc:creator>
  <cp:keywords/>
  <dc:description/>
  <cp:lastModifiedBy>Damodhar Akula</cp:lastModifiedBy>
  <cp:revision>17</cp:revision>
  <dcterms:created xsi:type="dcterms:W3CDTF">2019-06-13T18:19:00Z</dcterms:created>
  <dcterms:modified xsi:type="dcterms:W3CDTF">2019-06-13T18:47:00Z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ba820726-e901-4a0a-a13a-b453a2d50772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policy="cde53ac1-bf5f-4aae-9cf1-07509e23a4b0" origin="defaultValue" xmlns="http://www.boldonj</vt:lpwstr>
  </property>
  <property fmtid="{D5CDD505-2E9C-101B-9397-08002B2CF9AE}" pid="4" name="bjDocumentLabelXML-0">
    <vt:lpwstr>ames.com/2008/01/sie/internal/label"&gt;&lt;element uid="bba94c65-ac3d-4f34-b2e1-8de11ef6f01c" value="" /&gt;&lt;/sisl&gt;</vt:lpwstr>
  </property>
  <property fmtid="{D5CDD505-2E9C-101B-9397-08002B2CF9AE}" pid="5" name="bjDocumentSecurityLabel">
    <vt:lpwstr>Origin Jurisdiction: US </vt:lpwstr>
  </property>
  <property fmtid="{D5CDD505-2E9C-101B-9397-08002B2CF9AE}" pid="6" name="rtnipcontrolcode">
    <vt:lpwstr>rtnipcontrolcodenone</vt:lpwstr>
  </property>
  <property fmtid="{D5CDD505-2E9C-101B-9397-08002B2CF9AE}" pid="7" name="rtnexportcontrolcountry">
    <vt:lpwstr>usa</vt:lpwstr>
  </property>
  <property fmtid="{D5CDD505-2E9C-101B-9397-08002B2CF9AE}" pid="8" name="rtnexportcontrolcode">
    <vt:lpwstr>rtnexportcontrolcodenone</vt:lpwstr>
  </property>
  <property fmtid="{D5CDD505-2E9C-101B-9397-08002B2CF9AE}" pid="9" name="bjSaver">
    <vt:lpwstr>K8ODGFrDg+S4RBX8+7EudJezQKBDaF6G</vt:lpwstr>
  </property>
  <property fmtid="{D5CDD505-2E9C-101B-9397-08002B2CF9AE}" pid="10" name="bjLabelHistoryID">
    <vt:lpwstr>{4D51274E-FAD2-4C8A-9704-CABFFCA7DEB7}</vt:lpwstr>
  </property>
</Properties>
</file>