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Вопросы юристу — платформа «БЕРТЕЛ Дело»</w:t>
      </w:r>
    </w:p>
    <w:p>
      <w:pPr>
        <w:spacing w:after="120"/>
      </w:pPr>
      <w:r>
        <w:t xml:space="preserve">Все вопросы юристу одним списком (собрано 04.10.2026 по просьбе Дамира). Сюда сведены вопросы из начала двух черновиков — «Черновик — агентский договор с исполнителем» и «Черновик — политика персональных данных», — вопросы из прежнего списка «Вопросы юристу» и пометки «уточнить» в тексте черновиков. Повторы объединены; номера сквозные; в скобках — откуда вопрос.</w:t>
      </w:r>
    </w:p>
    <w:p>
      <w:pPr>
        <w:spacing w:after="120"/>
      </w:pPr>
      <w:r>
        <w:t xml:space="preserve">Оператор платформы — ООО «АИС Переводчик», ИНН 7715486007, КПП 772201001, г. Москва, ул. Нижняя Хохловка, д. 8, кв. 606. Все данные платформы хранятся в России (Yandex Cloud).</w:t>
      </w:r>
    </w:p>
    <w:p>
      <w:pPr>
        <w:pStyle w:val="Heading2"/>
        <w:spacing w:before="240"/>
      </w:pPr>
      <w:r>
        <w:t xml:space="preserve">1. Оператор платформы</w:t>
      </w:r>
    </w:p>
    <w:p>
      <w:pPr>
        <w:spacing w:after="60"/>
      </w:pPr>
      <w:r>
        <w:rPr>
          <w:b/>
          <w:bCs/>
        </w:rPr>
        <w:t xml:space="preserve">1. Виды деятельности. </w:t>
      </w:r>
      <w:r>
        <w:t xml:space="preserve">Подходят ли коды ОКВЭД ООО «АИС Переводчик» для работы оператором платформы и агентом исполнителей-оценщиков и экспертов (посредничество, информационные услуги), или их нужно добавить в ЕГРЮЛ до запуска?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список вопросов, 03.10.2026. Ответ юриста: ____________________________</w:t>
      </w:r>
    </w:p>
    <w:p>
      <w:pPr>
        <w:spacing w:after="60"/>
      </w:pPr>
      <w:r>
        <w:rPr>
          <w:b/>
          <w:bCs/>
        </w:rPr>
        <w:t xml:space="preserve">2. Адрес в жилом помещении. </w:t>
      </w:r>
      <w:r>
        <w:t xml:space="preserve">Адрес общества — квартира. Не мешает ли это уведомлению Роскомнадзора об обработке персональных данных, договору с платёжным сервисом и публикации адреса в оферте и политике?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список вопросов, 03.10.2026. Ответ юриста: ____________________________</w:t>
      </w:r>
    </w:p>
    <w:p>
      <w:pPr>
        <w:pStyle w:val="Heading2"/>
        <w:spacing w:before="240"/>
      </w:pPr>
      <w:r>
        <w:t xml:space="preserve">2. Договор с исполнителем и деньги</w:t>
      </w:r>
    </w:p>
    <w:p>
      <w:pPr>
        <w:spacing w:after="60"/>
      </w:pPr>
      <w:r>
        <w:rPr>
          <w:b/>
          <w:bCs/>
        </w:rPr>
        <w:t xml:space="preserve">3. Схема «платформа — агент исполнителя». </w:t>
      </w:r>
      <w:r>
        <w:t xml:space="preserve">Агент от имени и за счёт исполнителя заключает договор с заказчиком и принимает оплату. Подходит ли эта схема для ЮKassa и для налогов: НДС с вознаграждения агента (20% цены), чеки по 54-ФЗ — чей чек и с какими признаками агента?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договор, вопрос 1. Ответ юриста: ____________________________</w:t>
      </w:r>
    </w:p>
    <w:p>
      <w:pPr>
        <w:spacing w:after="60"/>
      </w:pPr>
      <w:r>
        <w:rPr>
          <w:b/>
          <w:bCs/>
        </w:rPr>
        <w:t xml:space="preserve">4. Кто может быть исполнителем. </w:t>
      </w:r>
      <w:r>
        <w:t xml:space="preserve">Организация, ИП, самозанятый (налог на профессиональный доход), физическое лицо без статуса? Оценщик по 135-ФЗ работает либо как ИП (частная практика), либо через оценочную компанию — нужно ли ограничить круг? Для судебных экспертиз — экспертная организация или эксперт; как это совместить?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договор, вопрос 2. Ответ юриста: ____________________________</w:t>
      </w:r>
    </w:p>
    <w:p>
      <w:pPr>
        <w:spacing w:after="60"/>
      </w:pPr>
      <w:r>
        <w:rPr>
          <w:b/>
          <w:bCs/>
        </w:rPr>
        <w:t xml:space="preserve">5. Самозанятый исполнитель: чек. </w:t>
      </w:r>
      <w:r>
        <w:t xml:space="preserve">Самозанятый сам формирует чек в «Мой налог» на каждую выплату, или это можно поручить агенту? Как записать в договоре?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договор, п. 5.7, «уточнить». Ответ юриста: ____________________________</w:t>
      </w:r>
    </w:p>
    <w:p>
      <w:pPr>
        <w:spacing w:after="60"/>
      </w:pPr>
      <w:r>
        <w:rPr>
          <w:b/>
          <w:bCs/>
        </w:rPr>
        <w:t xml:space="preserve">6. Договор с заказчиком. </w:t>
      </w:r>
      <w:r>
        <w:t xml:space="preserve">Договор с заказчиком заключается от имени исполнителя. Нужен ли единый текст оферты исполнителя, который платформа показывает заказчику, или договор с заказчиком составляет сам исполнитель?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договор, вопрос 3. Ответ юриста: ____________________________</w:t>
      </w:r>
    </w:p>
    <w:p>
      <w:pPr>
        <w:spacing w:after="60"/>
      </w:pPr>
      <w:r>
        <w:rPr>
          <w:b/>
          <w:bCs/>
        </w:rPr>
        <w:t xml:space="preserve">7. Срок выплаты и запрет обхода платформы. </w:t>
      </w:r>
      <w:r>
        <w:t xml:space="preserve">Допустимы ли и в каком виде: срок выплаты исполнителю — 3 рабочих дня после принятия результата; правило «в течение 12 месяцев не оказывать заказчику, найденному через платформу, услуги в обход платформы»; отчёт агента считается принятым, если исполнитель не возразил за 5 рабочих дней?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договор, вопрос 4, п. 5.6 и 6.3. Ответ юриста: ____________________________</w:t>
      </w:r>
    </w:p>
    <w:p>
      <w:pPr>
        <w:spacing w:after="60"/>
      </w:pPr>
      <w:r>
        <w:rPr>
          <w:b/>
          <w:bCs/>
        </w:rPr>
        <w:t xml:space="preserve">8. Простая электронная подпись. </w:t>
      </w:r>
      <w:r>
        <w:t xml:space="preserve">Вход по коду из СМС — достаточно ли такой простой электронной подписи для принятия оферты исполнителем и для отчётов агента?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договор, вопрос 6. Ответ юриста: ____________________________</w:t>
      </w:r>
    </w:p>
    <w:p>
      <w:pPr>
        <w:pStyle w:val="Heading2"/>
        <w:spacing w:before="240"/>
      </w:pPr>
      <w:r>
        <w:t xml:space="preserve">3. Подпись результата</w:t>
      </w:r>
    </w:p>
    <w:p>
      <w:pPr>
        <w:spacing w:after="60"/>
      </w:pPr>
      <w:r>
        <w:rPr>
          <w:b/>
          <w:bCs/>
        </w:rPr>
        <w:t xml:space="preserve">9. Две подписи по закону об оценке. </w:t>
      </w:r>
      <w:r>
        <w:t xml:space="preserve">Решение Дамира: результат подписывают двое — эксперт и организация (руководитель); подпись принимается любым способом (файл подписи из программы любого удостоверяющего центра, «Госключ», позже — облачная подпись в кабинете). Достаточно ли для отчёта об оценке в электронном виде двух открепленных квалифицированных подписей — оценщика (физлица) и руководителя оценочной компании, или нужно что-то ещё (подпись с должностью, печать как реквизит)?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список вопросов, 03.10.2026. Ответ юриста: ____________________________</w:t>
      </w:r>
    </w:p>
    <w:p>
      <w:pPr>
        <w:spacing w:after="60"/>
      </w:pPr>
      <w:r>
        <w:rPr>
          <w:b/>
          <w:bCs/>
        </w:rPr>
        <w:t xml:space="preserve">10. Исполнитель без организации. </w:t>
      </w:r>
      <w:r>
        <w:t xml:space="preserve">Если исполнитель — оценщик-ИП (частная практика) или самозанятый, вторая подпись (организации) не нужна и достаточно одной — верно ли? Для судебной экспертизы: подпись эксперта и заверение руководителем экспертного учреждения — та же схема?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список вопросов, 03.10.2026. Ответ юриста: ____________________________</w:t>
      </w:r>
    </w:p>
    <w:p>
      <w:pPr>
        <w:spacing w:after="60"/>
      </w:pPr>
      <w:r>
        <w:rPr>
          <w:b/>
          <w:bCs/>
        </w:rPr>
        <w:t xml:space="preserve">11. Подпись физлица из «Госключа». </w:t>
      </w:r>
      <w:r>
        <w:t xml:space="preserve">Годится ли квалифицированная подпись физлица из «Госключа» для отчёта оценщика, который работает в оценочной компании (в сертификате нет организации и должности)? Неквалифицированная подпись «Госключа» для отчёта не годится — правильно ли мы её не принимаем?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список вопросов, 03.10.2026. Ответ юриста: ____________________________</w:t>
      </w:r>
    </w:p>
    <w:p>
      <w:pPr>
        <w:spacing w:after="60"/>
      </w:pPr>
      <w:r>
        <w:rPr>
          <w:b/>
          <w:bCs/>
        </w:rPr>
        <w:t xml:space="preserve">12. Проверка загруженной подписи. </w:t>
      </w:r>
      <w:r>
        <w:t xml:space="preserve">Чего достаточно платформе, чтобы считать загруженную подпись верной: подпись сходится с файлом, сертификат квалифицированный (аккредитованный удостоверяющий центр), действовал и не был отозван на момент подписи? Нужно ли хранить у себя квитанцию проверки (с меткой времени) на случай спора?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список вопросов, 03.10.2026. Ответ юриста: ____________________________</w:t>
      </w:r>
    </w:p>
    <w:p>
      <w:pPr>
        <w:spacing w:after="60"/>
      </w:pPr>
      <w:r>
        <w:rPr>
          <w:b/>
          <w:bCs/>
        </w:rPr>
        <w:t xml:space="preserve">13. Облачная подпись в кабинете. </w:t>
      </w:r>
      <w:r>
        <w:t xml:space="preserve">Когда подключим облачную подпись удостоверяющего центра: кто сторона договора с центром — оператор платформы или сам эксперт; что должно быть в согласии эксперта (ключ хранится у центра, подтверждение — в приложении на телефоне)?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список вопросов, 03.10.2026. Ответ юриста: ____________________________</w:t>
      </w:r>
    </w:p>
    <w:p>
      <w:pPr>
        <w:pStyle w:val="Heading2"/>
        <w:spacing w:before="240"/>
      </w:pPr>
      <w:r>
        <w:t xml:space="preserve">4. Персональные данные</w:t>
      </w:r>
    </w:p>
    <w:p>
      <w:pPr>
        <w:spacing w:after="60"/>
      </w:pPr>
      <w:r>
        <w:rPr>
          <w:b/>
          <w:bCs/>
        </w:rPr>
        <w:t xml:space="preserve">14. Уведомление Роскомнадзора. </w:t>
      </w:r>
      <w:r>
        <w:t xml:space="preserve">Уведомление об обработке персональных данных (ст. 22 152-ФЗ) — подать до запуска. Что в нём указать с учётом всех целей из политики (вход, заявки, осмотр, подбор и допуск исполнителей, подпись, оплата, уведомления, помощник на основе ИИ)?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политика, вопрос 1. Ответ юриста: ____________________________</w:t>
      </w:r>
    </w:p>
    <w:p>
      <w:pPr>
        <w:spacing w:after="60"/>
      </w:pPr>
      <w:r>
        <w:rPr>
          <w:b/>
          <w:bCs/>
        </w:rPr>
        <w:t xml:space="preserve">15. Тексты согласий. </w:t>
      </w:r>
      <w:r>
        <w:t xml:space="preserve">Согласие оформляется отдельным документом (с 01.09.2022). Нужны тексты согласий для заказчика, исполнителя, сотрудника организации, помощника на объекте и владельца объекта, который снимает фото по ссылке без входа на платформу.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политика, вопрос 2. Ответ юриста: ____________________________</w:t>
      </w:r>
    </w:p>
    <w:p>
      <w:pPr>
        <w:spacing w:after="60"/>
      </w:pPr>
      <w:r>
        <w:rPr>
          <w:b/>
          <w:bCs/>
        </w:rPr>
        <w:t xml:space="preserve">16. Фото объекта и место съёмки. </w:t>
      </w:r>
      <w:r>
        <w:t xml:space="preserve">Фото объекта с местом съёмки (координатами) и фото помещений — персональные ли это данные владельца? Нужно ли отдельное согласие на геолокацию? На каком основании их обрабатывать: согласие владельца или договор с заказчиком?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политика, вопрос 3 и таблица целей, «уточнить». Ответ юриста: ____________________________</w:t>
      </w:r>
    </w:p>
    <w:p>
      <w:pPr>
        <w:spacing w:after="60"/>
      </w:pPr>
      <w:r>
        <w:rPr>
          <w:b/>
          <w:bCs/>
        </w:rPr>
        <w:t xml:space="preserve">17. СМС владельцу объекта. </w:t>
      </w:r>
      <w:r>
        <w:t xml:space="preserve">Эксперт может вписать телефон владельца, и платформа один раз отправит ему СМС со ссылкой на осмотр (номер не хранится, в деле — только последние цифры, не больше 5 СМС в сутки по заявке). Достаточно ли того, что номер дал заказчик или эксперт, и что написать в политике?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задача 2.20, 03.10.2026. Ответ юриста: ____________________________</w:t>
      </w:r>
    </w:p>
    <w:p>
      <w:pPr>
        <w:spacing w:after="60"/>
      </w:pPr>
      <w:r>
        <w:rPr>
          <w:b/>
          <w:bCs/>
        </w:rPr>
        <w:t xml:space="preserve">18. Исполнитель и данные заказчика. </w:t>
      </w:r>
      <w:r>
        <w:t xml:space="preserve">Исполнитель получает данные заказчика и объекта из заявки — по поручению платформы (обработчик) или как самостоятельный оператор? Как записать в договоре с исполнителем?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договор, вопрос 5. Ответ юриста: ____________________________</w:t>
      </w:r>
    </w:p>
    <w:p>
      <w:pPr>
        <w:spacing w:after="60"/>
      </w:pPr>
      <w:r>
        <w:rPr>
          <w:b/>
          <w:bCs/>
        </w:rPr>
        <w:t xml:space="preserve">19. Досье эксперта. </w:t>
      </w:r>
      <w:r>
        <w:t xml:space="preserve">Платформа хранит копии диплома, квалификационного аттестата, документов СРО и полисов эксперта (для допуска и для приложений к отчёту). Достаточно ли основания «договор с исполнителем», или нужно согласие эксперта?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задача 2.14, 03.10.2026. Ответ юриста: ____________________________</w:t>
      </w:r>
    </w:p>
    <w:p>
      <w:pPr>
        <w:spacing w:after="60"/>
      </w:pPr>
      <w:r>
        <w:rPr>
          <w:b/>
          <w:bCs/>
        </w:rPr>
        <w:t xml:space="preserve">20. Искусственный интеллект. </w:t>
      </w:r>
      <w:r>
        <w:t xml:space="preserve">Тексты документов заявки передаются в модель искусственного интеллекта Yandex Cloud (YandexGPT; запасная — GigaChat, ПАО «Сбербанк») для проверки результата и черновика заключения. Это поручение обработки или иное основание (договор, согласие)? Сроки хранения у поставщика модели?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политика, вопрос 4 и таблица целей, «уточнить». Ответ юриста: ____________________________</w:t>
      </w:r>
    </w:p>
    <w:p>
      <w:pPr>
        <w:spacing w:after="60"/>
      </w:pPr>
      <w:r>
        <w:rPr>
          <w:b/>
          <w:bCs/>
        </w:rPr>
        <w:t xml:space="preserve">21. Сроки хранения. </w:t>
      </w:r>
      <w:r>
        <w:t xml:space="preserve">Сколько хранить заявки и документы по заявке, финансовые документы (бухгалтерский учёт — 5 лет), журнал действий? Оценщик обязан хранить копию отчёта и материалы не меньше 3 лет — сколько хранит платформа?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политика, вопрос 5. Ответ юриста: ____________________________</w:t>
      </w:r>
    </w:p>
    <w:p>
      <w:pPr>
        <w:spacing w:after="60"/>
      </w:pPr>
      <w:r>
        <w:rPr>
          <w:b/>
          <w:bCs/>
        </w:rPr>
        <w:t xml:space="preserve">22. Ответственный. </w:t>
      </w:r>
      <w:r>
        <w:t xml:space="preserve">Кто назначается ответственным за организацию обработки персональных данных (ФИО, должность, адрес для обращений)?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политика, вопрос 6. Ответ юриста: ____________________________</w:t>
      </w:r>
    </w:p>
    <w:p>
      <w:pPr>
        <w:pStyle w:val="Heading2"/>
        <w:spacing w:before="240"/>
      </w:pPr>
      <w:r>
        <w:t xml:space="preserve">5. Аналоги в отчёте (раздел «Аналоги», 04.10.2026)</w:t>
      </w:r>
    </w:p>
    <w:p>
      <w:pPr>
        <w:spacing w:after="60"/>
      </w:pPr>
      <w:r>
        <w:rPr>
          <w:b/>
          <w:bCs/>
        </w:rPr>
        <w:t xml:space="preserve">23. Скриншоты объявлений в отчёте. </w:t>
      </w:r>
      <w:r>
        <w:t xml:space="preserve">Эксперт сам находит объявления (Авито, Авто.ру, Дром, ЦИАН и др.) и прикладывает к отчёту скриншот со ссылкой и датой; программой с сайтов платформа ничего не собирает. Можно ли считать скриншот отдельного объявления в отчёте цитированием в объёме, нужном для цели (ст. 1274 ГК), и не нарушает ли это право владельца базы данных (ст. 1334 ГК) и правила сайтов?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план аналогов, docs/analogi-plan.md. Ответ юриста: ____________________________</w:t>
      </w:r>
    </w:p>
    <w:p>
      <w:pPr>
        <w:spacing w:after="60"/>
      </w:pPr>
      <w:r>
        <w:rPr>
          <w:b/>
          <w:bCs/>
        </w:rPr>
        <w:t xml:space="preserve">24. Персональные данные продавцов. </w:t>
      </w:r>
      <w:r>
        <w:t xml:space="preserve">В объявлении бывают имя и телефон продавца. Платформа их не сохраняет в таблице аналогов, а на скриншоте эксперт их закрывает. Достаточно ли этого, или скриншот с именем продавца в отчёте — обработка персональных данных?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план аналогов. Ответ юриста: ____________________________</w:t>
      </w:r>
    </w:p>
    <w:p>
      <w:pPr>
        <w:spacing w:after="60"/>
      </w:pPr>
      <w:r>
        <w:rPr>
          <w:b/>
          <w:bCs/>
        </w:rPr>
        <w:t xml:space="preserve">25. Платные архивы объявлений (на будущее). </w:t>
      </w:r>
      <w:r>
        <w:t xml:space="preserve">Если позже подключим платный архив объявлений для оценщиков: что должно быть в договоре с продавцом архива, чтобы он ручался за законность данных?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Откуда: план аналогов, способ В. Ответ юриста: ____________________________</w:t>
      </w:r>
    </w:p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Вопросы юристу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/>
      <w:outlineLvl w:val="1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2026-10-04T13:01:47.475Z</dcterms:created>
  <dcterms:modified xsi:type="dcterms:W3CDTF">2026-10-04T13:01:47.475Z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