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Вопросы юристу — платформа «БЕРТЕЛ Дело»</w:t>
      </w:r>
    </w:p>
    <w:p>
      <w:r>
        <w:rPr>
          <w:b w:val="0"/>
          <w:i/>
        </w:rPr>
        <w:t xml:space="preserve">Сюда собираются </w:t>
      </w:r>
      <w:r>
        <w:rPr>
          <w:b/>
          <w:i/>
        </w:rPr>
        <w:t>новые</w:t>
      </w:r>
      <w:r>
        <w:rPr>
          <w:b w:val="0"/>
          <w:i/>
        </w:rPr>
        <w:t xml:space="preserve"> вопросы, чтобы отправить юристу разом (решение Дамира 03.10.2026). Вопросы, которые уже стоят в начале черновиков «Черновик — агентский договор с исполнителем.docx» и «Черновик — политика персональных данных.docx», здесь не повторяются. Номера сквозные; рядом — откуда вопрос и дата.</w:t>
      </w:r>
    </w:p>
    <w:p>
      <w:pPr>
        <w:pStyle w:val="Heading2"/>
      </w:pPr>
      <w:r>
        <w:t>Оператор платформы — ООО «АИС Переводчик» (03.10.2026)</w:t>
      </w:r>
    </w:p>
    <w:p>
      <w:r>
        <w:rPr>
          <w:b w:val="0"/>
        </w:rPr>
        <w:t xml:space="preserve">1. </w:t>
      </w:r>
      <w:r>
        <w:rPr>
          <w:b/>
        </w:rPr>
        <w:t>Виды деятельности.</w:t>
      </w:r>
      <w:r>
        <w:rPr>
          <w:b w:val="0"/>
        </w:rPr>
        <w:t xml:space="preserve"> Подходят ли коды ОКВЭД ООО «АИС Переводчик» для работы оператором платформы и агентом исполнителей-оценщиков и экспертов (посредничество, информационные услуги), или их нужно добавить в ЕГРЮЛ до запуска.</w:t>
      </w:r>
    </w:p>
    <w:p>
      <w:r>
        <w:rPr>
          <w:b w:val="0"/>
        </w:rPr>
        <w:t xml:space="preserve">2. </w:t>
      </w:r>
      <w:r>
        <w:rPr>
          <w:b/>
        </w:rPr>
        <w:t>Адрес в жилом помещении.</w:t>
      </w:r>
      <w:r>
        <w:rPr>
          <w:b w:val="0"/>
        </w:rPr>
        <w:t xml:space="preserve"> Адрес общества — квартира (ул. Нижняя Хохловка, д. 8, кв. 606). Не мешает ли это уведомлению Роскомнадзора об обработке персональных данных, договору с платёжным сервисом и публикации адреса в оферте и политике.</w:t>
      </w:r>
    </w:p>
    <w:p>
      <w:pPr>
        <w:pStyle w:val="Heading2"/>
      </w:pPr>
      <w:r>
        <w:t>Подпись результата: способы и две подписи (03.10.2026)</w:t>
      </w:r>
    </w:p>
    <w:p>
      <w:r>
        <w:rPr>
          <w:b w:val="0"/>
        </w:rPr>
        <w:t>Решение Дамира: подпись результата принимается любым способом — готовый файл подписи из программы любого удостоверяющего центра или из «Госключа», позже — подпись прямо в кабинете через облачный сервис; результат подписывают двое — эксперт и организация (руководитель).</w:t>
      </w:r>
    </w:p>
    <w:p>
      <w:r>
        <w:rPr>
          <w:b w:val="0"/>
        </w:rPr>
        <w:t xml:space="preserve">3. </w:t>
      </w:r>
      <w:r>
        <w:rPr>
          <w:b/>
        </w:rPr>
        <w:t>Две подписи по закону об оценке.</w:t>
      </w:r>
      <w:r>
        <w:rPr>
          <w:b w:val="0"/>
        </w:rPr>
        <w:t xml:space="preserve"> Достаточно ли для отчёта об оценке в электронном виде двух открепленных квалифицированных подписей — оценщика (физлица) и руководителя оценочной компании (подпись организации), или нужно что-то ещё (например, подпись с должностью, печать как реквизит).</w:t>
      </w:r>
    </w:p>
    <w:p>
      <w:r>
        <w:rPr>
          <w:b w:val="0"/>
        </w:rPr>
        <w:t xml:space="preserve">4. </w:t>
      </w:r>
      <w:r>
        <w:rPr>
          <w:b/>
        </w:rPr>
        <w:t>Исполнитель без организации.</w:t>
      </w:r>
      <w:r>
        <w:rPr>
          <w:b w:val="0"/>
        </w:rPr>
        <w:t xml:space="preserve"> Если исполнитель — оценщик-ИП (частная практика) или самозанятый, вторая подпись (организации) не нужна, и достаточно одной подписи — верно ли? Для судебной экспертизы: подпись эксперта и заверение руководителем экспертного учреждения — та же схема?</w:t>
      </w:r>
    </w:p>
    <w:p>
      <w:r>
        <w:rPr>
          <w:b w:val="0"/>
        </w:rPr>
        <w:t xml:space="preserve">5. </w:t>
      </w:r>
      <w:r>
        <w:rPr>
          <w:b/>
        </w:rPr>
        <w:t>Подпись физлица из «Госключа».</w:t>
      </w:r>
      <w:r>
        <w:rPr>
          <w:b w:val="0"/>
        </w:rPr>
        <w:t xml:space="preserve"> Годится ли квалифицированная подпись физлица, выпущенная в «Госключе», для отчёта оценщика, который работает в оценочной компании (в сертификате нет организации и должности)? Неквалифицированная подпись «Госключа» для отчёта не годится — правильно ли мы её не принимаем?</w:t>
      </w:r>
    </w:p>
    <w:p>
      <w:r>
        <w:rPr>
          <w:b w:val="0"/>
        </w:rPr>
        <w:t xml:space="preserve">6. </w:t>
      </w:r>
      <w:r>
        <w:rPr>
          <w:b/>
        </w:rPr>
        <w:t>Проверка загруженной подписи.</w:t>
      </w:r>
      <w:r>
        <w:rPr>
          <w:b w:val="0"/>
        </w:rPr>
        <w:t xml:space="preserve"> Чего достаточно платформе, чтобы считать загруженную подпись верной: подпись сходится с файлом, сертификат квалифицированный (аккредитованный удостоверяющий центр), действовал и не был отозван на момент подписи. Нужно ли хранить у себя квитанцию проверки (с меткой времени) на случай спора.</w:t>
      </w:r>
    </w:p>
    <w:p>
      <w:r>
        <w:rPr>
          <w:b w:val="0"/>
        </w:rPr>
        <w:t xml:space="preserve">7. </w:t>
      </w:r>
      <w:r>
        <w:rPr>
          <w:b/>
        </w:rPr>
        <w:t>Облачная подпись в кабинете.</w:t>
      </w:r>
      <w:r>
        <w:rPr>
          <w:b w:val="0"/>
        </w:rPr>
        <w:t xml:space="preserve"> Когда подключим облачную подпись удостоверяющего центра: кто сторона договора с центром — оператор платформы или сам эксперт; что должно быть в согласии эксперта (ключ хранится у центра, подтверждение — в приложении на телефоне).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