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>
      <w:pPr>
        <w:rPr>
          <w:rFonts w:hint="eastAsia"/>
        </w:rPr>
      </w:pPr>
    </w:p>
    <w:p w:rsidR="004B324C" w:rsidRDefault="001227A1" w:rsidP="006113C0">
      <w:pPr>
        <w:rPr>
          <w:rFonts w:hint="eastAsia"/>
        </w:rPr>
      </w:pPr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1246"/>
        <w:gridCol w:w="1920"/>
        <w:gridCol w:w="1753"/>
        <w:gridCol w:w="1810"/>
      </w:tblGrid>
      <w:tr w:rsidR="001227A1" w:rsidTr="00107D46">
        <w:tc>
          <w:tcPr>
            <w:tcW w:w="1809" w:type="dxa"/>
          </w:tcPr>
          <w:p w:rsidR="001227A1" w:rsidRDefault="001227A1" w:rsidP="00107D46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107D46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107D46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107D46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107D46">
            <w:r>
              <w:rPr>
                <w:rFonts w:hint="eastAsia"/>
              </w:rPr>
              <w:t>来源</w:t>
            </w:r>
          </w:p>
        </w:tc>
      </w:tr>
      <w:tr w:rsidR="001227A1" w:rsidTr="00107D46">
        <w:tc>
          <w:tcPr>
            <w:tcW w:w="1809" w:type="dxa"/>
          </w:tcPr>
          <w:p w:rsidR="001227A1" w:rsidRDefault="001227A1" w:rsidP="001227A1">
            <w:proofErr w:type="spellStart"/>
            <w:r w:rsidRPr="00594BC6">
              <w:t>product</w:t>
            </w:r>
            <w:r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107D46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107D46"/>
        </w:tc>
        <w:tc>
          <w:tcPr>
            <w:tcW w:w="1860" w:type="dxa"/>
          </w:tcPr>
          <w:p w:rsidR="001227A1" w:rsidRDefault="001227A1" w:rsidP="00107D46"/>
        </w:tc>
      </w:tr>
      <w:tr w:rsidR="001227A1" w:rsidTr="00107D46">
        <w:tc>
          <w:tcPr>
            <w:tcW w:w="1809" w:type="dxa"/>
          </w:tcPr>
          <w:p w:rsidR="001227A1" w:rsidRDefault="004D45E6" w:rsidP="00107D46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107D46"/>
        </w:tc>
        <w:tc>
          <w:tcPr>
            <w:tcW w:w="1974" w:type="dxa"/>
          </w:tcPr>
          <w:p w:rsidR="001227A1" w:rsidRDefault="004D45E6" w:rsidP="00107D46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交易数据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107D46"/>
        </w:tc>
      </w:tr>
      <w:tr w:rsidR="001227A1" w:rsidTr="00107D46">
        <w:tc>
          <w:tcPr>
            <w:tcW w:w="1809" w:type="dxa"/>
          </w:tcPr>
          <w:p w:rsidR="001227A1" w:rsidRDefault="00932CBC" w:rsidP="00107D46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107D46"/>
        </w:tc>
        <w:tc>
          <w:tcPr>
            <w:tcW w:w="1974" w:type="dxa"/>
          </w:tcPr>
          <w:p w:rsidR="001227A1" w:rsidRDefault="00116B6C" w:rsidP="00107D46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107D46">
            <w:pPr>
              <w:rPr>
                <w:rFonts w:hint="eastAsia"/>
              </w:rPr>
            </w:pPr>
            <w:r>
              <w:rPr>
                <w:rFonts w:hint="eastAsia"/>
              </w:rPr>
              <w:t>0：准备开始</w:t>
            </w:r>
          </w:p>
          <w:p w:rsidR="00DD2045" w:rsidRDefault="00DD2045" w:rsidP="00107D46">
            <w:pPr>
              <w:rPr>
                <w:rFonts w:hint="eastAsia"/>
              </w:rPr>
            </w:pPr>
            <w:r>
              <w:rPr>
                <w:rFonts w:hint="eastAsia"/>
              </w:rPr>
              <w:t>1：下载完成</w:t>
            </w:r>
          </w:p>
          <w:p w:rsidR="00DD2045" w:rsidRDefault="00DD2045" w:rsidP="00107D46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107D46"/>
        </w:tc>
      </w:tr>
      <w:tr w:rsidR="00643C1F" w:rsidTr="00107D46">
        <w:tc>
          <w:tcPr>
            <w:tcW w:w="1809" w:type="dxa"/>
          </w:tcPr>
          <w:p w:rsidR="00643C1F" w:rsidRDefault="00643C1F" w:rsidP="00107D46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107D46"/>
        </w:tc>
        <w:tc>
          <w:tcPr>
            <w:tcW w:w="1974" w:type="dxa"/>
          </w:tcPr>
          <w:p w:rsidR="00643C1F" w:rsidRDefault="00643C1F" w:rsidP="00107D46">
            <w:pPr>
              <w:rPr>
                <w:rFonts w:hint="eastAsia"/>
              </w:rPr>
            </w:pPr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107D46">
            <w:pPr>
              <w:rPr>
                <w:rFonts w:hint="eastAsia"/>
              </w:rPr>
            </w:pPr>
            <w:r>
              <w:rPr>
                <w:rFonts w:hint="eastAsia"/>
              </w:rPr>
              <w:t>0：各自下载</w:t>
            </w:r>
          </w:p>
          <w:p w:rsidR="00643C1F" w:rsidRDefault="00643C1F" w:rsidP="00107D46">
            <w:pPr>
              <w:rPr>
                <w:rFonts w:hint="eastAsia"/>
              </w:rPr>
            </w:pPr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107D46"/>
        </w:tc>
      </w:tr>
    </w:tbl>
    <w:p w:rsidR="001227A1" w:rsidRPr="006113C0" w:rsidRDefault="001227A1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lastRenderedPageBreak/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</w:t>
            </w:r>
            <w:r>
              <w:lastRenderedPageBreak/>
              <w:t>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lastRenderedPageBreak/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</w:t>
            </w:r>
            <w:r>
              <w:rPr>
                <w:rFonts w:hint="eastAsia"/>
                <w:color w:val="000000"/>
                <w:sz w:val="22"/>
              </w:rPr>
              <w:lastRenderedPageBreak/>
              <w:t>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t>中文名和数据库内的字段进行对应</w:t>
      </w:r>
    </w:p>
    <w:p w:rsidR="00264822" w:rsidRPr="00ED0B46" w:rsidRDefault="00264822" w:rsidP="00F26FB3"/>
    <w:p w:rsidR="00E5231C" w:rsidRDefault="0085044D" w:rsidP="000E0108">
      <w:pPr>
        <w:pStyle w:val="3"/>
      </w:pPr>
      <w:proofErr w:type="spellStart"/>
      <w:r>
        <w:lastRenderedPageBreak/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</w:pPr>
      <w:r>
        <w:rPr>
          <w:rFonts w:hint="eastAsia"/>
        </w:rPr>
        <w:t>微信与数据互通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r>
        <w:rPr>
          <w:rFonts w:hint="eastAsia"/>
        </w:rPr>
        <w:t>来作为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</w:pPr>
      <w:r>
        <w:rPr>
          <w:rFonts w:hint="eastAsia"/>
        </w:rPr>
        <w:t>上市产品数据获取</w:t>
      </w:r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>
        <w:rPr>
          <w:rFonts w:hint="eastAsia"/>
        </w:rPr>
        <w:t>2</w:t>
      </w:r>
      <w:r>
        <w:rPr>
          <w:rFonts w:hint="eastAsia"/>
        </w:rPr>
        <w:t>)的数据</w:t>
      </w:r>
    </w:p>
    <w:p w:rsidR="008A3EDE" w:rsidRDefault="008A3EDE" w:rsidP="00413208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产品循环准备从临时表插入到正式表前，</w:t>
      </w:r>
      <w:r>
        <w:rPr>
          <w:rFonts w:hint="eastAsia"/>
        </w:rPr>
        <w:t>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>
        <w:rPr>
          <w:rFonts w:hint="eastAsia"/>
        </w:rPr>
        <w:t>1</w:t>
      </w:r>
      <w:r>
        <w:rPr>
          <w:rFonts w:hint="eastAsia"/>
        </w:rPr>
        <w:t>)的数据</w:t>
      </w:r>
    </w:p>
    <w:p w:rsidR="00D726F3" w:rsidRPr="00413208" w:rsidRDefault="00D726F3" w:rsidP="0084610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数据插入完成后</w:t>
      </w: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  <w:bookmarkStart w:id="0" w:name="_GoBack"/>
      <w:bookmarkEnd w:id="0"/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9E55BB" w:rsidP="009E55B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重复数据。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lastRenderedPageBreak/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D11F84" w:rsidRDefault="00AC47C7" w:rsidP="00F74FFB">
      <w:pPr>
        <w:pStyle w:val="a9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9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9E55BB" w:rsidRDefault="009E55BB" w:rsidP="009E55B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数据纠错。</w:t>
      </w:r>
      <w:r w:rsidR="00A44FE3">
        <w:rPr>
          <w:rFonts w:hint="eastAsia"/>
        </w:rPr>
        <w:t>只能跟</w:t>
      </w:r>
      <w:proofErr w:type="spellStart"/>
      <w:r w:rsidR="00A44FE3">
        <w:rPr>
          <w:rFonts w:hint="eastAsia"/>
        </w:rPr>
        <w:t>pdf</w:t>
      </w:r>
      <w:proofErr w:type="spellEnd"/>
      <w:r w:rsidR="00A44FE3">
        <w:rPr>
          <w:rFonts w:hint="eastAsia"/>
        </w:rPr>
        <w:t>来做比较了。</w:t>
      </w:r>
      <w:r w:rsidR="0035043A">
        <w:rPr>
          <w:rFonts w:hint="eastAsia"/>
        </w:rPr>
        <w:t>关键字“差错更正”</w:t>
      </w:r>
    </w:p>
    <w:p w:rsidR="00AF6544" w:rsidRPr="00850B67" w:rsidRDefault="00AF6544" w:rsidP="00AF6544">
      <w:pPr>
        <w:pStyle w:val="a9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9E7" w:rsidRDefault="003029E7" w:rsidP="006F3D75">
      <w:r>
        <w:separator/>
      </w:r>
    </w:p>
  </w:endnote>
  <w:endnote w:type="continuationSeparator" w:id="0">
    <w:p w:rsidR="003029E7" w:rsidRDefault="003029E7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A2B" w:rsidRDefault="00DC6A2B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DC6A2B" w:rsidRDefault="00DC6A2B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DC6A2B" w:rsidRDefault="00DC6A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9E7" w:rsidRDefault="003029E7" w:rsidP="006F3D75">
      <w:r>
        <w:separator/>
      </w:r>
    </w:p>
  </w:footnote>
  <w:footnote w:type="continuationSeparator" w:id="0">
    <w:p w:rsidR="003029E7" w:rsidRDefault="003029E7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12"/>
  </w:num>
  <w:num w:numId="7">
    <w:abstractNumId w:val="7"/>
  </w:num>
  <w:num w:numId="8">
    <w:abstractNumId w:val="9"/>
  </w:num>
  <w:num w:numId="9">
    <w:abstractNumId w:val="16"/>
  </w:num>
  <w:num w:numId="10">
    <w:abstractNumId w:val="17"/>
  </w:num>
  <w:num w:numId="11">
    <w:abstractNumId w:val="3"/>
  </w:num>
  <w:num w:numId="12">
    <w:abstractNumId w:val="6"/>
  </w:num>
  <w:num w:numId="13">
    <w:abstractNumId w:val="1"/>
  </w:num>
  <w:num w:numId="14">
    <w:abstractNumId w:val="4"/>
  </w:num>
  <w:num w:numId="15">
    <w:abstractNumId w:val="11"/>
  </w:num>
  <w:num w:numId="16">
    <w:abstractNumId w:val="5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43E90"/>
    <w:rsid w:val="000440C3"/>
    <w:rsid w:val="0004652A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A42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6019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E4"/>
    <w:rsid w:val="003059F1"/>
    <w:rsid w:val="00315BFA"/>
    <w:rsid w:val="003161F2"/>
    <w:rsid w:val="00322F0A"/>
    <w:rsid w:val="00330673"/>
    <w:rsid w:val="00332086"/>
    <w:rsid w:val="00340B05"/>
    <w:rsid w:val="00341982"/>
    <w:rsid w:val="0034629C"/>
    <w:rsid w:val="0035043A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9F3"/>
    <w:rsid w:val="004C026A"/>
    <w:rsid w:val="004C29D3"/>
    <w:rsid w:val="004C3D25"/>
    <w:rsid w:val="004C7D5D"/>
    <w:rsid w:val="004D17CD"/>
    <w:rsid w:val="004D45E6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63057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4610A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8496B"/>
    <w:rsid w:val="00990D5E"/>
    <w:rsid w:val="00991DDE"/>
    <w:rsid w:val="009A36A4"/>
    <w:rsid w:val="009A4011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A35A7"/>
    <w:rsid w:val="00BB3AEE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43D"/>
    <w:rsid w:val="00DB60C8"/>
    <w:rsid w:val="00DC1987"/>
    <w:rsid w:val="00DC21BE"/>
    <w:rsid w:val="00DC6A2B"/>
    <w:rsid w:val="00DD2045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8834</TotalTime>
  <Pages>21</Pages>
  <Words>2178</Words>
  <Characters>12417</Characters>
  <Application>Microsoft Office Word</Application>
  <DocSecurity>0</DocSecurity>
  <Lines>103</Lines>
  <Paragraphs>29</Paragraphs>
  <ScaleCrop>false</ScaleCrop>
  <Company/>
  <LinksUpToDate>false</LinksUpToDate>
  <CharactersWithSpaces>14566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927</cp:revision>
  <dcterms:created xsi:type="dcterms:W3CDTF">2019-08-31T08:35:00Z</dcterms:created>
  <dcterms:modified xsi:type="dcterms:W3CDTF">2020-01-02T14:51:00Z</dcterms:modified>
</cp:coreProperties>
</file>