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4" w:rsidRDefault="007F4DDD" w:rsidP="007F4DDD">
      <w:pPr>
        <w:pStyle w:val="1"/>
        <w:jc w:val="center"/>
      </w:pPr>
      <w:r>
        <w:rPr>
          <w:rFonts w:hint="eastAsia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proofErr w:type="gram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  <w:proofErr w:type="gramEnd"/>
    </w:p>
    <w:p w:rsidR="0087463B" w:rsidRPr="0087463B" w:rsidRDefault="0087463B" w:rsidP="0087463B">
      <w:proofErr w:type="spellStart"/>
      <w:proofErr w:type="gramStart"/>
      <w:r>
        <w:t>stockmarket</w:t>
      </w:r>
      <w:proofErr w:type="spellEnd"/>
      <w:proofErr w:type="gram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691F29">
      <w:pPr>
        <w:pStyle w:val="4"/>
        <w:numPr>
          <w:ilvl w:val="1"/>
          <w:numId w:val="2"/>
        </w:numPr>
      </w:pPr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2"/>
        <w:gridCol w:w="1219"/>
        <w:gridCol w:w="1869"/>
        <w:gridCol w:w="1569"/>
        <w:gridCol w:w="1763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Pr="006113C0" w:rsidRDefault="006113C0" w:rsidP="006113C0"/>
    <w:p w:rsidR="00691F29" w:rsidRPr="00691F29" w:rsidRDefault="004D17CD" w:rsidP="00691F29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9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proofErr w:type="gramStart"/>
      <w:r>
        <w:rPr>
          <w:rFonts w:hint="eastAsia"/>
        </w:rPr>
        <w:t>product</w:t>
      </w:r>
      <w:r w:rsidR="00F26FB3">
        <w:t>basicinfo</w:t>
      </w:r>
      <w:proofErr w:type="spellEnd"/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lastRenderedPageBreak/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201803,</w:t>
            </w:r>
          </w:p>
          <w:p w:rsidR="00881247" w:rsidRDefault="00944151" w:rsidP="00075824">
            <w:r>
              <w:rPr>
                <w:rFonts w:hint="eastAsia"/>
              </w:rPr>
              <w:t>201806,</w:t>
            </w:r>
          </w:p>
          <w:p w:rsidR="00881247" w:rsidRDefault="00944151" w:rsidP="00075824">
            <w:r>
              <w:rPr>
                <w:rFonts w:hint="eastAsia"/>
              </w:rPr>
              <w:t>201809,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13F95" w:rsidP="00075824">
            <w:proofErr w:type="spellStart"/>
            <w:r>
              <w:t>Nudist</w:t>
            </w:r>
            <w:r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3C43F4" w:rsidP="00075824">
            <w:r>
              <w:rPr>
                <w:rFonts w:hint="eastAsia"/>
              </w:rPr>
              <w:t>prepayment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60DE0" w:rsidP="00075824">
            <w:r>
              <w:rPr>
                <w:rFonts w:hint="eastAsia"/>
              </w:rPr>
              <w:t>inventories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A631B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1907B7" w:rsidP="00075824"/>
        </w:tc>
      </w:tr>
    </w:tbl>
    <w:p w:rsidR="003D3067" w:rsidRDefault="003D3067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075824"/>
        </w:tc>
        <w:tc>
          <w:tcPr>
            <w:tcW w:w="1779" w:type="dxa"/>
          </w:tcPr>
          <w:p w:rsidR="00407C80" w:rsidRDefault="00407C80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取得子公司及其他营业单位支付的现金净额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F170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others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一年内到期的可转换公司债券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A04F89">
        <w:tc>
          <w:tcPr>
            <w:tcW w:w="3367" w:type="dxa"/>
          </w:tcPr>
          <w:p w:rsidR="00A7168B" w:rsidRDefault="00A7168B" w:rsidP="00A04F8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A04F8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A04F8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A04F89">
            <w:r>
              <w:rPr>
                <w:rFonts w:hint="eastAsia"/>
              </w:rPr>
              <w:t>字典项</w:t>
            </w:r>
          </w:p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>
            <w:pPr>
              <w:rPr>
                <w:rFonts w:hint="eastAsia"/>
              </w:rPr>
            </w:pPr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/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A04F89">
            <w:r>
              <w:rPr>
                <w:rFonts w:hint="eastAsia"/>
              </w:rPr>
              <w:t>201803,</w:t>
            </w:r>
          </w:p>
          <w:p w:rsidR="00A7168B" w:rsidRDefault="00A7168B" w:rsidP="00A04F89">
            <w:r>
              <w:rPr>
                <w:rFonts w:hint="eastAsia"/>
              </w:rPr>
              <w:t>201806,</w:t>
            </w:r>
          </w:p>
          <w:p w:rsidR="00A7168B" w:rsidRDefault="00A7168B" w:rsidP="00A04F89">
            <w:r>
              <w:rPr>
                <w:rFonts w:hint="eastAsia"/>
              </w:rPr>
              <w:t>201809,</w:t>
            </w:r>
          </w:p>
          <w:p w:rsidR="00A7168B" w:rsidRDefault="00A7168B" w:rsidP="00A04F89">
            <w:r>
              <w:rPr>
                <w:rFonts w:hint="eastAsia"/>
              </w:rPr>
              <w:t>201812</w:t>
            </w:r>
          </w:p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A04F89">
            <w:r w:rsidRPr="007E4538">
              <w:t xml:space="preserve">1一般工商业 </w:t>
            </w:r>
          </w:p>
          <w:p w:rsidR="00A7168B" w:rsidRDefault="00A7168B" w:rsidP="00A04F89">
            <w:r w:rsidRPr="007E4538">
              <w:t xml:space="preserve">2银行 </w:t>
            </w:r>
          </w:p>
          <w:p w:rsidR="00A7168B" w:rsidRDefault="00A7168B" w:rsidP="00A04F89">
            <w:r w:rsidRPr="007E4538">
              <w:t xml:space="preserve">3保险 </w:t>
            </w:r>
          </w:p>
          <w:p w:rsidR="00A7168B" w:rsidRDefault="00A7168B" w:rsidP="00A04F89">
            <w:r w:rsidRPr="007E4538">
              <w:t>4证券</w:t>
            </w:r>
          </w:p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revenue</w:t>
            </w:r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</w:t>
            </w:r>
            <w:r>
              <w:rPr>
                <w:rFonts w:hint="eastAsia"/>
                <w:color w:val="000000"/>
                <w:sz w:val="22"/>
              </w:rPr>
              <w:lastRenderedPageBreak/>
              <w:t>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</w:t>
            </w:r>
            <w:r>
              <w:rPr>
                <w:rFonts w:hint="eastAsia"/>
                <w:color w:val="000000"/>
                <w:sz w:val="22"/>
              </w:rPr>
              <w:lastRenderedPageBreak/>
              <w:t>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ebit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ebitda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8F2A9F" w:rsidTr="00F62058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A04F89"/>
        </w:tc>
        <w:tc>
          <w:tcPr>
            <w:tcW w:w="1726" w:type="dxa"/>
          </w:tcPr>
          <w:p w:rsidR="008F2A9F" w:rsidRDefault="00DD4906" w:rsidP="00A04F8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  <w:bookmarkStart w:id="0" w:name="_GoBack"/>
            <w:bookmarkEnd w:id="0"/>
          </w:p>
        </w:tc>
        <w:tc>
          <w:tcPr>
            <w:tcW w:w="1779" w:type="dxa"/>
          </w:tcPr>
          <w:p w:rsidR="008F2A9F" w:rsidRDefault="008F2A9F" w:rsidP="00A04F89"/>
        </w:tc>
      </w:tr>
    </w:tbl>
    <w:p w:rsidR="00075824" w:rsidRPr="00A7168B" w:rsidRDefault="00075824" w:rsidP="00F26FB3"/>
    <w:p w:rsidR="003B6AF5" w:rsidRDefault="007B7DC4" w:rsidP="00F26FB3">
      <w:proofErr w:type="spellStart"/>
      <w:r>
        <w:t>C</w:t>
      </w:r>
      <w:r w:rsidR="003B6AF5">
        <w:rPr>
          <w:rFonts w:hint="eastAsia"/>
        </w:rPr>
        <w:t>om</w:t>
      </w:r>
      <w:r>
        <w:rPr>
          <w:rFonts w:hint="eastAsia"/>
        </w:rPr>
        <w:t>pany_dividend</w:t>
      </w:r>
      <w:proofErr w:type="spellEnd"/>
      <w:r w:rsidR="009F1270">
        <w:rPr>
          <w:rFonts w:hint="eastAsia"/>
        </w:rPr>
        <w:t xml:space="preserve"> 分红送股数据</w:t>
      </w:r>
    </w:p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lastRenderedPageBreak/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6F339A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883182" w:rsidRPr="00ED0B46" w:rsidRDefault="00883182" w:rsidP="00F26FB3"/>
    <w:p w:rsidR="00E5231C" w:rsidRDefault="0085044D" w:rsidP="000E0108">
      <w:pPr>
        <w:pStyle w:val="3"/>
      </w:pPr>
      <w:proofErr w:type="spellStart"/>
      <w:r>
        <w:t>get_hist_data</w:t>
      </w:r>
      <w:proofErr w:type="spellEnd"/>
      <w:r w:rsidR="00E5231C">
        <w:t>(</w:t>
      </w:r>
      <w:hyperlink r:id="rId8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F167C9" w:rsidRPr="00F167C9" w:rsidRDefault="00F167C9" w:rsidP="00F167C9">
      <w:r>
        <w:rPr>
          <w:rFonts w:hint="eastAsia"/>
        </w:rPr>
        <w:t>获取历史行情数据</w:t>
      </w:r>
    </w:p>
    <w:p w:rsidR="0085044D" w:rsidRDefault="0085044D" w:rsidP="004C7D5D">
      <w:pPr>
        <w:pStyle w:val="3"/>
      </w:pPr>
    </w:p>
    <w:p w:rsidR="006B7016" w:rsidRP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sectPr w:rsidR="006B7016" w:rsidRPr="006B701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40D" w:rsidRDefault="0048740D" w:rsidP="006F3D75">
      <w:r>
        <w:separator/>
      </w:r>
    </w:p>
  </w:endnote>
  <w:endnote w:type="continuationSeparator" w:id="0">
    <w:p w:rsidR="0048740D" w:rsidRDefault="0048740D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824" w:rsidRDefault="00075824">
    <w:pPr>
      <w:pStyle w:val="a6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075824" w:rsidRDefault="00075824">
    <w:pPr>
      <w:pStyle w:val="a6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075824" w:rsidRDefault="0007582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40D" w:rsidRDefault="0048740D" w:rsidP="006F3D75">
      <w:r>
        <w:separator/>
      </w:r>
    </w:p>
  </w:footnote>
  <w:footnote w:type="continuationSeparator" w:id="0">
    <w:p w:rsidR="0048740D" w:rsidRDefault="0048740D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6BBA08BE"/>
    <w:multiLevelType w:val="hybridMultilevel"/>
    <w:tmpl w:val="0E8A35BE"/>
    <w:lvl w:ilvl="0" w:tplc="A044C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14F20"/>
    <w:rsid w:val="000207D1"/>
    <w:rsid w:val="00021579"/>
    <w:rsid w:val="00023142"/>
    <w:rsid w:val="000260E6"/>
    <w:rsid w:val="00031A25"/>
    <w:rsid w:val="00031AC6"/>
    <w:rsid w:val="0003200B"/>
    <w:rsid w:val="000348C6"/>
    <w:rsid w:val="000440C3"/>
    <w:rsid w:val="0004689A"/>
    <w:rsid w:val="00054F22"/>
    <w:rsid w:val="00057B72"/>
    <w:rsid w:val="00057B8F"/>
    <w:rsid w:val="00061E00"/>
    <w:rsid w:val="00075824"/>
    <w:rsid w:val="00076642"/>
    <w:rsid w:val="0008363B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B198C"/>
    <w:rsid w:val="000B3DAE"/>
    <w:rsid w:val="000B7F3E"/>
    <w:rsid w:val="000D0E5B"/>
    <w:rsid w:val="000D259C"/>
    <w:rsid w:val="000E0108"/>
    <w:rsid w:val="000E0881"/>
    <w:rsid w:val="000E27A4"/>
    <w:rsid w:val="001022AA"/>
    <w:rsid w:val="0010308B"/>
    <w:rsid w:val="001030EC"/>
    <w:rsid w:val="001069BE"/>
    <w:rsid w:val="00107B30"/>
    <w:rsid w:val="00121B6B"/>
    <w:rsid w:val="00124A08"/>
    <w:rsid w:val="00130497"/>
    <w:rsid w:val="00133F94"/>
    <w:rsid w:val="00136DC9"/>
    <w:rsid w:val="00141375"/>
    <w:rsid w:val="00141D86"/>
    <w:rsid w:val="00152271"/>
    <w:rsid w:val="00152D9E"/>
    <w:rsid w:val="00155A58"/>
    <w:rsid w:val="001576F1"/>
    <w:rsid w:val="00164271"/>
    <w:rsid w:val="001663EE"/>
    <w:rsid w:val="00166474"/>
    <w:rsid w:val="0017745C"/>
    <w:rsid w:val="00177A5E"/>
    <w:rsid w:val="001821AF"/>
    <w:rsid w:val="00183AAB"/>
    <w:rsid w:val="00184503"/>
    <w:rsid w:val="001871CF"/>
    <w:rsid w:val="001907B7"/>
    <w:rsid w:val="00193A80"/>
    <w:rsid w:val="001A6FE9"/>
    <w:rsid w:val="001B7750"/>
    <w:rsid w:val="001C3CC5"/>
    <w:rsid w:val="001D1C25"/>
    <w:rsid w:val="001D6D97"/>
    <w:rsid w:val="001E0590"/>
    <w:rsid w:val="001E0BCF"/>
    <w:rsid w:val="001E15C2"/>
    <w:rsid w:val="001E6D87"/>
    <w:rsid w:val="001F601A"/>
    <w:rsid w:val="00202403"/>
    <w:rsid w:val="0020284B"/>
    <w:rsid w:val="002049BC"/>
    <w:rsid w:val="002067A2"/>
    <w:rsid w:val="00207E41"/>
    <w:rsid w:val="00213DF5"/>
    <w:rsid w:val="00225309"/>
    <w:rsid w:val="002265BD"/>
    <w:rsid w:val="00227811"/>
    <w:rsid w:val="00230EB4"/>
    <w:rsid w:val="0023151D"/>
    <w:rsid w:val="00234943"/>
    <w:rsid w:val="00234AA4"/>
    <w:rsid w:val="002407A4"/>
    <w:rsid w:val="00241D1A"/>
    <w:rsid w:val="002461DC"/>
    <w:rsid w:val="00247B26"/>
    <w:rsid w:val="00254C3F"/>
    <w:rsid w:val="002564FE"/>
    <w:rsid w:val="00273F8D"/>
    <w:rsid w:val="002776FC"/>
    <w:rsid w:val="00281EAC"/>
    <w:rsid w:val="00284F0C"/>
    <w:rsid w:val="00285F3C"/>
    <w:rsid w:val="0029347E"/>
    <w:rsid w:val="0029521E"/>
    <w:rsid w:val="00295D59"/>
    <w:rsid w:val="00297845"/>
    <w:rsid w:val="002A03F4"/>
    <w:rsid w:val="002A442C"/>
    <w:rsid w:val="002A6D4E"/>
    <w:rsid w:val="002A7CBB"/>
    <w:rsid w:val="002B10B0"/>
    <w:rsid w:val="002B6B10"/>
    <w:rsid w:val="002B7118"/>
    <w:rsid w:val="002C3B13"/>
    <w:rsid w:val="002D07C9"/>
    <w:rsid w:val="002D4BF6"/>
    <w:rsid w:val="002D684D"/>
    <w:rsid w:val="002E1087"/>
    <w:rsid w:val="002E2F2E"/>
    <w:rsid w:val="002E721E"/>
    <w:rsid w:val="002F4F98"/>
    <w:rsid w:val="002F5980"/>
    <w:rsid w:val="00300149"/>
    <w:rsid w:val="003039D1"/>
    <w:rsid w:val="003042E4"/>
    <w:rsid w:val="003059F1"/>
    <w:rsid w:val="00315BFA"/>
    <w:rsid w:val="003161F2"/>
    <w:rsid w:val="00330673"/>
    <w:rsid w:val="00341982"/>
    <w:rsid w:val="0034629C"/>
    <w:rsid w:val="00355603"/>
    <w:rsid w:val="00355B07"/>
    <w:rsid w:val="0036413E"/>
    <w:rsid w:val="00364782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91398"/>
    <w:rsid w:val="003925C2"/>
    <w:rsid w:val="003B0FEA"/>
    <w:rsid w:val="003B22FD"/>
    <w:rsid w:val="003B6AF5"/>
    <w:rsid w:val="003B7399"/>
    <w:rsid w:val="003B78AE"/>
    <w:rsid w:val="003C43F4"/>
    <w:rsid w:val="003C6011"/>
    <w:rsid w:val="003C6124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F2A68"/>
    <w:rsid w:val="003F4D24"/>
    <w:rsid w:val="00401DBE"/>
    <w:rsid w:val="00403704"/>
    <w:rsid w:val="00407C80"/>
    <w:rsid w:val="00411F68"/>
    <w:rsid w:val="004125A1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55EAC"/>
    <w:rsid w:val="00462110"/>
    <w:rsid w:val="00465D37"/>
    <w:rsid w:val="004714FD"/>
    <w:rsid w:val="00471669"/>
    <w:rsid w:val="00480DEE"/>
    <w:rsid w:val="004870A0"/>
    <w:rsid w:val="0048740D"/>
    <w:rsid w:val="0049110A"/>
    <w:rsid w:val="00494D21"/>
    <w:rsid w:val="004A07AC"/>
    <w:rsid w:val="004A3371"/>
    <w:rsid w:val="004B0B3B"/>
    <w:rsid w:val="004B39F3"/>
    <w:rsid w:val="004C026A"/>
    <w:rsid w:val="004C29D3"/>
    <w:rsid w:val="004C7D5D"/>
    <w:rsid w:val="004D17CD"/>
    <w:rsid w:val="004E069E"/>
    <w:rsid w:val="004E5FCB"/>
    <w:rsid w:val="004E660F"/>
    <w:rsid w:val="004F0B04"/>
    <w:rsid w:val="004F7ABE"/>
    <w:rsid w:val="00500CA7"/>
    <w:rsid w:val="00505244"/>
    <w:rsid w:val="00511918"/>
    <w:rsid w:val="00512E32"/>
    <w:rsid w:val="00522C07"/>
    <w:rsid w:val="0053192E"/>
    <w:rsid w:val="00537BC6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7CFE"/>
    <w:rsid w:val="00585B27"/>
    <w:rsid w:val="00596663"/>
    <w:rsid w:val="00596D94"/>
    <w:rsid w:val="005A4FF0"/>
    <w:rsid w:val="005B233D"/>
    <w:rsid w:val="005C34B7"/>
    <w:rsid w:val="005C7B6B"/>
    <w:rsid w:val="005D14F8"/>
    <w:rsid w:val="005D447A"/>
    <w:rsid w:val="005E3E16"/>
    <w:rsid w:val="005E64EE"/>
    <w:rsid w:val="005F0CBE"/>
    <w:rsid w:val="005F4AF7"/>
    <w:rsid w:val="005F765B"/>
    <w:rsid w:val="0060575A"/>
    <w:rsid w:val="006113C0"/>
    <w:rsid w:val="00613DE3"/>
    <w:rsid w:val="006154EE"/>
    <w:rsid w:val="006205DF"/>
    <w:rsid w:val="00620A9E"/>
    <w:rsid w:val="00623A88"/>
    <w:rsid w:val="006269A7"/>
    <w:rsid w:val="0062783F"/>
    <w:rsid w:val="00640E16"/>
    <w:rsid w:val="00647FE8"/>
    <w:rsid w:val="0065179E"/>
    <w:rsid w:val="0065314D"/>
    <w:rsid w:val="00653347"/>
    <w:rsid w:val="00654B1A"/>
    <w:rsid w:val="00666591"/>
    <w:rsid w:val="006709EC"/>
    <w:rsid w:val="0067283F"/>
    <w:rsid w:val="006806AC"/>
    <w:rsid w:val="00681C10"/>
    <w:rsid w:val="0068406B"/>
    <w:rsid w:val="0068651D"/>
    <w:rsid w:val="00687AF6"/>
    <w:rsid w:val="00691F29"/>
    <w:rsid w:val="00696653"/>
    <w:rsid w:val="006A40E3"/>
    <w:rsid w:val="006B7016"/>
    <w:rsid w:val="006C0374"/>
    <w:rsid w:val="006C4E55"/>
    <w:rsid w:val="006C6063"/>
    <w:rsid w:val="006C66FC"/>
    <w:rsid w:val="006D00FC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D75"/>
    <w:rsid w:val="006F6C0A"/>
    <w:rsid w:val="0070077E"/>
    <w:rsid w:val="0070092E"/>
    <w:rsid w:val="007029AC"/>
    <w:rsid w:val="00710595"/>
    <w:rsid w:val="00720F81"/>
    <w:rsid w:val="007221F5"/>
    <w:rsid w:val="007346EE"/>
    <w:rsid w:val="0073541C"/>
    <w:rsid w:val="0073736C"/>
    <w:rsid w:val="00741604"/>
    <w:rsid w:val="00746943"/>
    <w:rsid w:val="00746B6E"/>
    <w:rsid w:val="00751EA4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9201D"/>
    <w:rsid w:val="007A201D"/>
    <w:rsid w:val="007A288B"/>
    <w:rsid w:val="007A616A"/>
    <w:rsid w:val="007A7A90"/>
    <w:rsid w:val="007B681C"/>
    <w:rsid w:val="007B7DC4"/>
    <w:rsid w:val="007D053A"/>
    <w:rsid w:val="007D09F0"/>
    <w:rsid w:val="007D14ED"/>
    <w:rsid w:val="007D205D"/>
    <w:rsid w:val="007D3FDE"/>
    <w:rsid w:val="007E4538"/>
    <w:rsid w:val="007F0D5E"/>
    <w:rsid w:val="007F28C8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798D"/>
    <w:rsid w:val="008108D7"/>
    <w:rsid w:val="0081119C"/>
    <w:rsid w:val="00812514"/>
    <w:rsid w:val="00814D4D"/>
    <w:rsid w:val="0082565F"/>
    <w:rsid w:val="008308E7"/>
    <w:rsid w:val="00843616"/>
    <w:rsid w:val="00843EAD"/>
    <w:rsid w:val="00845086"/>
    <w:rsid w:val="0085044D"/>
    <w:rsid w:val="00857393"/>
    <w:rsid w:val="00857CFD"/>
    <w:rsid w:val="00860955"/>
    <w:rsid w:val="00860B12"/>
    <w:rsid w:val="00862DE2"/>
    <w:rsid w:val="0086355F"/>
    <w:rsid w:val="008661CD"/>
    <w:rsid w:val="00867AFC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929C0"/>
    <w:rsid w:val="008A3416"/>
    <w:rsid w:val="008A7777"/>
    <w:rsid w:val="008B0EAD"/>
    <w:rsid w:val="008B3DFA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A9F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40FD7"/>
    <w:rsid w:val="00944151"/>
    <w:rsid w:val="009471B0"/>
    <w:rsid w:val="00950D6D"/>
    <w:rsid w:val="009510BB"/>
    <w:rsid w:val="0095215C"/>
    <w:rsid w:val="0095423D"/>
    <w:rsid w:val="0095460B"/>
    <w:rsid w:val="00960B9F"/>
    <w:rsid w:val="0096396E"/>
    <w:rsid w:val="0097068D"/>
    <w:rsid w:val="0097327E"/>
    <w:rsid w:val="00990D5E"/>
    <w:rsid w:val="00991DDE"/>
    <w:rsid w:val="009A36A4"/>
    <w:rsid w:val="009B0610"/>
    <w:rsid w:val="009B0C64"/>
    <w:rsid w:val="009B5958"/>
    <w:rsid w:val="009C0C46"/>
    <w:rsid w:val="009C17A1"/>
    <w:rsid w:val="009C45AC"/>
    <w:rsid w:val="009C4CAF"/>
    <w:rsid w:val="009D66F7"/>
    <w:rsid w:val="009E5703"/>
    <w:rsid w:val="009F1270"/>
    <w:rsid w:val="009F1F5E"/>
    <w:rsid w:val="009F4030"/>
    <w:rsid w:val="009F6ABD"/>
    <w:rsid w:val="00A06C52"/>
    <w:rsid w:val="00A12C73"/>
    <w:rsid w:val="00A12F06"/>
    <w:rsid w:val="00A14061"/>
    <w:rsid w:val="00A14CF6"/>
    <w:rsid w:val="00A402C2"/>
    <w:rsid w:val="00A412C2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657"/>
    <w:rsid w:val="00A87A63"/>
    <w:rsid w:val="00A90D57"/>
    <w:rsid w:val="00A91CD4"/>
    <w:rsid w:val="00AA632E"/>
    <w:rsid w:val="00AB01DE"/>
    <w:rsid w:val="00AB0FB4"/>
    <w:rsid w:val="00AB1B77"/>
    <w:rsid w:val="00AC2E6F"/>
    <w:rsid w:val="00AC4C3D"/>
    <w:rsid w:val="00AC7C1B"/>
    <w:rsid w:val="00AD4C85"/>
    <w:rsid w:val="00AD745A"/>
    <w:rsid w:val="00AE1F76"/>
    <w:rsid w:val="00AE225F"/>
    <w:rsid w:val="00AE7550"/>
    <w:rsid w:val="00AE7672"/>
    <w:rsid w:val="00AF15A0"/>
    <w:rsid w:val="00AF47E0"/>
    <w:rsid w:val="00AF56F1"/>
    <w:rsid w:val="00B057E2"/>
    <w:rsid w:val="00B059B0"/>
    <w:rsid w:val="00B0603D"/>
    <w:rsid w:val="00B0774F"/>
    <w:rsid w:val="00B1452B"/>
    <w:rsid w:val="00B15827"/>
    <w:rsid w:val="00B22654"/>
    <w:rsid w:val="00B27B38"/>
    <w:rsid w:val="00B31385"/>
    <w:rsid w:val="00B33CAF"/>
    <w:rsid w:val="00B34580"/>
    <w:rsid w:val="00B34B41"/>
    <w:rsid w:val="00B42A06"/>
    <w:rsid w:val="00B51D78"/>
    <w:rsid w:val="00B5223B"/>
    <w:rsid w:val="00B543A3"/>
    <w:rsid w:val="00B547A1"/>
    <w:rsid w:val="00B60DE0"/>
    <w:rsid w:val="00B61098"/>
    <w:rsid w:val="00B622FB"/>
    <w:rsid w:val="00B67A29"/>
    <w:rsid w:val="00B76097"/>
    <w:rsid w:val="00B8004D"/>
    <w:rsid w:val="00B8043D"/>
    <w:rsid w:val="00B81349"/>
    <w:rsid w:val="00B86799"/>
    <w:rsid w:val="00B92B6D"/>
    <w:rsid w:val="00B94A79"/>
    <w:rsid w:val="00B9709F"/>
    <w:rsid w:val="00B977C4"/>
    <w:rsid w:val="00BD07C3"/>
    <w:rsid w:val="00BD080F"/>
    <w:rsid w:val="00BD3B89"/>
    <w:rsid w:val="00BE0C22"/>
    <w:rsid w:val="00BE5376"/>
    <w:rsid w:val="00BF1010"/>
    <w:rsid w:val="00BF2E4D"/>
    <w:rsid w:val="00BF3D80"/>
    <w:rsid w:val="00BF3DF4"/>
    <w:rsid w:val="00C027A4"/>
    <w:rsid w:val="00C11A0B"/>
    <w:rsid w:val="00C14983"/>
    <w:rsid w:val="00C2472F"/>
    <w:rsid w:val="00C27110"/>
    <w:rsid w:val="00C30459"/>
    <w:rsid w:val="00C35EE8"/>
    <w:rsid w:val="00C404CA"/>
    <w:rsid w:val="00C40B25"/>
    <w:rsid w:val="00C41AC9"/>
    <w:rsid w:val="00C53119"/>
    <w:rsid w:val="00C53F2B"/>
    <w:rsid w:val="00C57A7E"/>
    <w:rsid w:val="00C637A6"/>
    <w:rsid w:val="00C64B90"/>
    <w:rsid w:val="00C66206"/>
    <w:rsid w:val="00C74C65"/>
    <w:rsid w:val="00C82DA1"/>
    <w:rsid w:val="00C858B0"/>
    <w:rsid w:val="00C8756B"/>
    <w:rsid w:val="00C91AB6"/>
    <w:rsid w:val="00C934C5"/>
    <w:rsid w:val="00C94F31"/>
    <w:rsid w:val="00C95833"/>
    <w:rsid w:val="00CA40E4"/>
    <w:rsid w:val="00CC0AB0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5287"/>
    <w:rsid w:val="00CF7D8E"/>
    <w:rsid w:val="00D11DBB"/>
    <w:rsid w:val="00D14C56"/>
    <w:rsid w:val="00D20466"/>
    <w:rsid w:val="00D2158E"/>
    <w:rsid w:val="00D251A2"/>
    <w:rsid w:val="00D300C8"/>
    <w:rsid w:val="00D30BE0"/>
    <w:rsid w:val="00D34114"/>
    <w:rsid w:val="00D3618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703B"/>
    <w:rsid w:val="00D8067D"/>
    <w:rsid w:val="00D9482D"/>
    <w:rsid w:val="00D95D40"/>
    <w:rsid w:val="00DA005B"/>
    <w:rsid w:val="00DA0895"/>
    <w:rsid w:val="00DA0A23"/>
    <w:rsid w:val="00DA0D6E"/>
    <w:rsid w:val="00DA5BCA"/>
    <w:rsid w:val="00DB243D"/>
    <w:rsid w:val="00DB60C8"/>
    <w:rsid w:val="00DC1987"/>
    <w:rsid w:val="00DC21BE"/>
    <w:rsid w:val="00DD4906"/>
    <w:rsid w:val="00DE49AF"/>
    <w:rsid w:val="00DE72DA"/>
    <w:rsid w:val="00DF4BF1"/>
    <w:rsid w:val="00DF5198"/>
    <w:rsid w:val="00DF5AA6"/>
    <w:rsid w:val="00DF7E81"/>
    <w:rsid w:val="00E01AB1"/>
    <w:rsid w:val="00E25155"/>
    <w:rsid w:val="00E27532"/>
    <w:rsid w:val="00E32C46"/>
    <w:rsid w:val="00E36163"/>
    <w:rsid w:val="00E454A7"/>
    <w:rsid w:val="00E46112"/>
    <w:rsid w:val="00E51EC1"/>
    <w:rsid w:val="00E5231C"/>
    <w:rsid w:val="00E54D1F"/>
    <w:rsid w:val="00E5720E"/>
    <w:rsid w:val="00E609F6"/>
    <w:rsid w:val="00E62AF6"/>
    <w:rsid w:val="00E72485"/>
    <w:rsid w:val="00E743C3"/>
    <w:rsid w:val="00E91BD8"/>
    <w:rsid w:val="00E9284B"/>
    <w:rsid w:val="00EB052E"/>
    <w:rsid w:val="00EB2713"/>
    <w:rsid w:val="00EC475B"/>
    <w:rsid w:val="00EC6D68"/>
    <w:rsid w:val="00ED089F"/>
    <w:rsid w:val="00ED0B46"/>
    <w:rsid w:val="00ED39B5"/>
    <w:rsid w:val="00EE00F8"/>
    <w:rsid w:val="00F00CA4"/>
    <w:rsid w:val="00F05B16"/>
    <w:rsid w:val="00F06029"/>
    <w:rsid w:val="00F1483E"/>
    <w:rsid w:val="00F167C9"/>
    <w:rsid w:val="00F17D29"/>
    <w:rsid w:val="00F20822"/>
    <w:rsid w:val="00F22DC2"/>
    <w:rsid w:val="00F247C0"/>
    <w:rsid w:val="00F265EA"/>
    <w:rsid w:val="00F26FB3"/>
    <w:rsid w:val="00F369AE"/>
    <w:rsid w:val="00F42A00"/>
    <w:rsid w:val="00F45A02"/>
    <w:rsid w:val="00F531DB"/>
    <w:rsid w:val="00F554CC"/>
    <w:rsid w:val="00F60505"/>
    <w:rsid w:val="00F61AFD"/>
    <w:rsid w:val="00F64A14"/>
    <w:rsid w:val="00F653C7"/>
    <w:rsid w:val="00F706CD"/>
    <w:rsid w:val="00F7339A"/>
    <w:rsid w:val="00F82D00"/>
    <w:rsid w:val="00F84A84"/>
    <w:rsid w:val="00F87540"/>
    <w:rsid w:val="00F9244C"/>
    <w:rsid w:val="00F92AA0"/>
    <w:rsid w:val="00FA145F"/>
    <w:rsid w:val="00FA5363"/>
    <w:rsid w:val="00FA604A"/>
    <w:rsid w:val="00FB6AF8"/>
    <w:rsid w:val="00FB70A0"/>
    <w:rsid w:val="00FB7681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ushare.org/trading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2788</TotalTime>
  <Pages>15</Pages>
  <Words>1505</Words>
  <Characters>8579</Characters>
  <Application>Microsoft Office Word</Application>
  <DocSecurity>0</DocSecurity>
  <Lines>71</Lines>
  <Paragraphs>20</Paragraphs>
  <ScaleCrop>false</ScaleCrop>
  <Company/>
  <LinksUpToDate>false</LinksUpToDate>
  <CharactersWithSpaces>10064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696</cp:revision>
  <dcterms:created xsi:type="dcterms:W3CDTF">2019-08-31T08:35:00Z</dcterms:created>
  <dcterms:modified xsi:type="dcterms:W3CDTF">2019-09-07T14:38:00Z</dcterms:modified>
</cp:coreProperties>
</file>