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50" w:before="0"/>
      </w:pPr>
      <w:r>
        <w:rPr>
          <w:rFonts w:ascii="Arial" w:cs="Arial" w:eastAsia="Arial" w:hAnsi="Arial"/>
          <w:b/>
          <w:bCs/>
          <w:caps/>
          <w:color w:val="4A8C2A"/>
          <w:sz w:val="15"/>
          <w:szCs w:val="15"/>
        </w:rPr>
        <w:t xml:space="preserve">INVESTPUPPY</w:t>
      </w:r>
    </w:p>
    <w:p>
      <w:pPr>
        <w:spacing w:after="80" w:before="0"/>
      </w:pPr>
      <w:r>
        <w:rPr>
          <w:rFonts w:ascii="Arial" w:cs="Arial" w:eastAsia="Arial" w:hAnsi="Arial"/>
          <w:b/>
          <w:bCs/>
          <w:color w:val="1A1A1A"/>
          <w:sz w:val="44"/>
          <w:szCs w:val="44"/>
        </w:rPr>
        <w:t xml:space="preserve">Brand Story</w:t>
      </w:r>
    </w:p>
    <w:p>
      <w:pPr>
        <w:spacing w:after="0" w:before="0"/>
      </w:pPr>
      <w:r>
        <w:rPr>
          <w:rFonts w:ascii="Arial" w:cs="Arial" w:eastAsia="Arial" w:hAnsi="Arial"/>
          <w:i/>
          <w:iCs/>
          <w:color w:val="555555"/>
          <w:sz w:val="22"/>
          <w:szCs w:val="22"/>
        </w:rPr>
        <w:t xml:space="preserve">Who we are and why we exist</w:t>
      </w:r>
    </w:p>
    <w:p>
      <w:pPr>
        <w:pBdr>
          <w:bottom w:val="single" w:color="4A8C2A" w:sz="10" w:space="1"/>
        </w:pBdr>
        <w:spacing w:after="180" w:before="0"/>
      </w:pPr>
    </w:p>
    <w:p>
      <w:pPr>
        <w:spacing w:after="0" w:before="60"/>
      </w:pPr>
    </w:p>
    <w:p>
      <w:pPr>
        <w:spacing w:after="0" w:before="0"/>
      </w:pPr>
      <w:r>
        <w:rPr>
          <w:rFonts w:ascii="Arial" w:cs="Arial" w:eastAsia="Arial" w:hAnsi="Arial"/>
          <w:color w:val="CCCCCC"/>
          <w:sz w:val="17"/>
          <w:szCs w:val="17"/>
        </w:rPr>
        <w:t xml:space="preserve">investpuppy.com</w:t>
      </w:r>
    </w:p>
    <w:p>
      <w:pPr>
        <w:spacing w:after="0" w:before="80"/>
      </w:pPr>
    </w:p>
    <w:p>
      <w:pPr>
        <w:spacing w:after="50" w:before="50" w:line="315" w:lineRule="auto"/>
      </w:pPr>
      <w:r>
        <w:rPr>
          <w:rFonts w:ascii="Arial" w:cs="Arial" w:eastAsia="Arial" w:hAnsi="Arial"/>
          <w:b w:val="false"/>
          <w:bCs w:val="false"/>
          <w:i w:val="false"/>
          <w:iCs w:val="false"/>
          <w:color w:val="3A3A3A"/>
          <w:sz w:val="20"/>
          <w:szCs w:val="20"/>
        </w:rPr>
        <w:t xml:space="preserve">Wealth management technology has a problem. The tools that serious institutional investment teams use to construct, manage, and evidence systematic portfolios have always been available only to serious institutional budgets. The boutique DPM, the independent wealth manager, the family office CIO running a disciplined equity mandate — these professionals operate at institutional complexity but without institutional infrastructure. The gap between what they need and what they can access has been filled, for decades, with spreadsheets, expensive terminal subscriptions, and manual processes that scale badly and audit even worse.</w:t>
      </w:r>
    </w:p>
    <w:p>
      <w:pPr>
        <w:spacing w:after="0" w:before="80"/>
      </w:pPr>
    </w:p>
    <w:p>
      <w:pPr>
        <w:spacing w:after="50" w:before="50" w:line="315" w:lineRule="auto"/>
      </w:pPr>
      <w:r>
        <w:rPr>
          <w:rFonts w:ascii="Arial" w:cs="Arial" w:eastAsia="Arial" w:hAnsi="Arial"/>
          <w:b/>
          <w:bCs/>
          <w:i w:val="false"/>
          <w:iCs w:val="false"/>
          <w:color w:val="1A1A1A"/>
          <w:sz w:val="20"/>
          <w:szCs w:val="20"/>
        </w:rPr>
        <w:t xml:space="preserve">We built Vektor because we believed that gap should not exist.</w:t>
      </w:r>
    </w:p>
    <w:p>
      <w:pPr>
        <w:spacing w:after="0" w:before="120"/>
      </w:pPr>
    </w:p>
    <w:p>
      <w:pPr>
        <w:pStyle w:val="Heading1"/>
        <w:pBdr>
          <w:bottom w:val="single" w:color="4A8C2A" w:sz="3" w:space="4"/>
        </w:pBdr>
        <w:spacing w:after="80" w:before="360"/>
      </w:pPr>
      <w:r>
        <w:rPr>
          <w:rFonts w:ascii="Arial" w:cs="Arial" w:eastAsia="Arial" w:hAnsi="Arial"/>
          <w:b/>
          <w:bCs/>
          <w:caps/>
          <w:color w:val="4A8C2A"/>
          <w:sz w:val="24"/>
          <w:szCs w:val="24"/>
        </w:rPr>
        <w:t xml:space="preserve">What We See</w:t>
      </w:r>
    </w:p>
    <w:p>
      <w:pPr>
        <w:spacing w:after="50" w:before="50" w:line="315" w:lineRule="auto"/>
      </w:pPr>
      <w:r>
        <w:rPr>
          <w:rFonts w:ascii="Arial" w:cs="Arial" w:eastAsia="Arial" w:hAnsi="Arial"/>
          <w:b w:val="false"/>
          <w:bCs w:val="false"/>
          <w:i w:val="false"/>
          <w:iCs w:val="false"/>
          <w:color w:val="3A3A3A"/>
          <w:sz w:val="20"/>
          <w:szCs w:val="20"/>
        </w:rPr>
        <w:t xml:space="preserve">Every experienced practitioner who has worked inside Tier 1 wealth management knows what good systematic portfolio management looks like. They have seen the quant teams, the optimisation engines, the signal validation layers, the complete audit trails that connect every investment decision to a documented rationale. They have also watched that infrastructure sit behind a pricing wall that puts it out of reach for the firms and professionals who most need it.</w:t>
      </w:r>
    </w:p>
    <w:p>
      <w:pPr>
        <w:spacing w:after="0" w:before="80"/>
      </w:pPr>
    </w:p>
    <w:p>
      <w:pPr>
        <w:spacing w:after="50" w:before="50" w:line="315" w:lineRule="auto"/>
      </w:pPr>
      <w:r>
        <w:rPr>
          <w:rFonts w:ascii="Arial" w:cs="Arial" w:eastAsia="Arial" w:hAnsi="Arial"/>
          <w:b w:val="false"/>
          <w:bCs w:val="false"/>
          <w:i w:val="false"/>
          <w:iCs w:val="false"/>
          <w:color w:val="3A3A3A"/>
          <w:sz w:val="20"/>
          <w:szCs w:val="20"/>
        </w:rPr>
        <w:t xml:space="preserve">The boutique managers and family office investment teams who serve the growing base of affluent clients in Singapore, Switzerland, the UK, and the Middle East are not less rigorous than their institutional counterparts. They are less resourced. What they lack is not the intellectual framework. It is the systematic infrastructure that makes that framework operational, auditable, and scalable.</w:t>
      </w:r>
    </w:p>
    <w:p>
      <w:pPr>
        <w:spacing w:after="0" w:before="120"/>
      </w:pPr>
    </w:p>
    <w:p>
      <w:pPr>
        <w:pStyle w:val="Heading1"/>
        <w:pBdr>
          <w:bottom w:val="single" w:color="4A8C2A" w:sz="3" w:space="4"/>
        </w:pBdr>
        <w:spacing w:after="80" w:before="360"/>
      </w:pPr>
      <w:r>
        <w:rPr>
          <w:rFonts w:ascii="Arial" w:cs="Arial" w:eastAsia="Arial" w:hAnsi="Arial"/>
          <w:b/>
          <w:bCs/>
          <w:caps/>
          <w:color w:val="4A8C2A"/>
          <w:sz w:val="24"/>
          <w:szCs w:val="24"/>
        </w:rPr>
        <w:t xml:space="preserve">What We Built</w:t>
      </w:r>
    </w:p>
    <w:p>
      <w:pPr>
        <w:spacing w:after="50" w:before="50" w:line="315" w:lineRule="auto"/>
      </w:pPr>
      <w:r>
        <w:rPr>
          <w:rFonts w:ascii="Arial" w:cs="Arial" w:eastAsia="Arial" w:hAnsi="Arial"/>
          <w:b w:val="false"/>
          <w:bCs w:val="false"/>
          <w:i w:val="false"/>
          <w:iCs w:val="false"/>
          <w:color w:val="3A3A3A"/>
          <w:sz w:val="20"/>
          <w:szCs w:val="20"/>
        </w:rPr>
        <w:t xml:space="preserve">Vektor is a systematic listed equity portfolio management platform. It gives wealth management professionals the quantitative research workflow, the portfolio construction engine, the signal generation and validation layer, and the complete order audit trail that institutional managers take for granted — at a price point that boutique firms can justify. The platform supports any listed equity exchange. SGX, SIX Swiss Exchange, LSE, and NYSE are the initial market coverage; the architecture adds markets without structural change.</w:t>
      </w:r>
    </w:p>
    <w:p>
      <w:pPr>
        <w:spacing w:after="0" w:before="80"/>
      </w:pPr>
    </w:p>
    <w:p>
      <w:pPr>
        <w:spacing w:after="50" w:before="50" w:line="315" w:lineRule="auto"/>
      </w:pPr>
      <w:r>
        <w:rPr>
          <w:rFonts w:ascii="Arial" w:cs="Arial" w:eastAsia="Arial" w:hAnsi="Arial"/>
          <w:b w:val="false"/>
          <w:bCs w:val="false"/>
          <w:i w:val="false"/>
          <w:iCs w:val="false"/>
          <w:color w:val="3A3A3A"/>
          <w:sz w:val="20"/>
          <w:szCs w:val="20"/>
        </w:rPr>
        <w:t xml:space="preserve">It is not a robo-advisor. It is not an investment adviser. It does not tell clients what to do with their money. It gives qualified, licensed wealth management professionals — DPMs, EAMs, family office investment teams — the infrastructure to do their jobs systematically, transparently, and with the documented rigour that regulators and clients increasingly require.</w:t>
      </w:r>
    </w:p>
    <w:p>
      <w:pPr>
        <w:spacing w:after="0" w:before="8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AABCD4" w:sz="1"/>
              <w:left w:val="single" w:color="4A8C2A" w:sz="12"/>
              <w:bottom w:val="single" w:color="AABCD4" w:sz="1"/>
              <w:right w:val="single" w:color="AABCD4" w:sz="1"/>
            </w:tcBorders>
            <w:shd w:fill="F2F7EE" w:val="clear"/>
            <w:tcMar>
              <w:top w:type="dxa" w:w="90"/>
              <w:left w:type="dxa" w:w="200"/>
              <w:bottom w:type="dxa" w:w="90"/>
              <w:right w:type="dxa" w:w="140"/>
            </w:tcMar>
          </w:tcPr>
          <w:p>
            <w:pPr>
              <w:spacing w:after="30" w:before="30"/>
            </w:pPr>
            <w:r>
              <w:rPr>
                <w:rFonts w:ascii="Arial" w:cs="Arial" w:eastAsia="Arial" w:hAnsi="Arial"/>
                <w:color w:val="1A1A1A"/>
                <w:sz w:val="20"/>
                <w:szCs w:val="20"/>
              </w:rPr>
              <w:t xml:space="preserve">Three questions govern every design decision in Vektor.</w:t>
            </w:r>
          </w:p>
        </w:tc>
      </w:tr>
      <w:tr>
        <w:tc>
          <w:tcPr>
            <w:tcW w:type="dxa" w:w="8600"/>
            <w:tcBorders>
              <w:top w:val="single" w:color="AABCD4" w:sz="1"/>
              <w:left w:val="single" w:color="4A8C2A" w:sz="12"/>
              <w:bottom w:val="single" w:color="AABCD4" w:sz="1"/>
              <w:right w:val="single" w:color="AABCD4" w:sz="1"/>
            </w:tcBorders>
            <w:shd w:fill="F2F7EE" w:val="clear"/>
            <w:tcMar>
              <w:top w:type="dxa" w:w="90"/>
              <w:left w:type="dxa" w:w="200"/>
              <w:bottom w:type="dxa" w:w="90"/>
              <w:right w:type="dxa" w:w="140"/>
            </w:tcMar>
          </w:tcPr>
          <w:p>
            <w:pPr>
              <w:spacing w:after="30" w:before="30"/>
            </w:pPr>
            <w:r>
              <w:rPr>
                <w:rFonts w:ascii="Arial" w:cs="Arial" w:eastAsia="Arial" w:hAnsi="Arial"/>
                <w:color w:val="1A1A1A"/>
                <w:sz w:val="20"/>
                <w:szCs w:val="20"/>
              </w:rPr>
              <w:t xml:space="preserve">See it clearly: understand exactly what the data says before acting on it.</w:t>
            </w:r>
          </w:p>
        </w:tc>
      </w:tr>
      <w:tr>
        <w:tc>
          <w:tcPr>
            <w:tcW w:type="dxa" w:w="8600"/>
            <w:tcBorders>
              <w:top w:val="single" w:color="AABCD4" w:sz="1"/>
              <w:left w:val="single" w:color="4A8C2A" w:sz="12"/>
              <w:bottom w:val="single" w:color="AABCD4" w:sz="1"/>
              <w:right w:val="single" w:color="AABCD4" w:sz="1"/>
            </w:tcBorders>
            <w:shd w:fill="F2F7EE" w:val="clear"/>
            <w:tcMar>
              <w:top w:type="dxa" w:w="90"/>
              <w:left w:type="dxa" w:w="200"/>
              <w:bottom w:type="dxa" w:w="90"/>
              <w:right w:type="dxa" w:w="140"/>
            </w:tcMar>
          </w:tcPr>
          <w:p>
            <w:pPr>
              <w:spacing w:after="30" w:before="30"/>
            </w:pPr>
            <w:r>
              <w:rPr>
                <w:rFonts w:ascii="Arial" w:cs="Arial" w:eastAsia="Arial" w:hAnsi="Arial"/>
                <w:color w:val="1A1A1A"/>
                <w:sz w:val="20"/>
                <w:szCs w:val="20"/>
              </w:rPr>
              <w:t xml:space="preserve">Own it completely: every decision is documented, auditable, and defensible.</w:t>
            </w:r>
          </w:p>
        </w:tc>
      </w:tr>
      <w:tr>
        <w:tc>
          <w:tcPr>
            <w:tcW w:type="dxa" w:w="8600"/>
            <w:tcBorders>
              <w:top w:val="single" w:color="AABCD4" w:sz="1"/>
              <w:left w:val="single" w:color="4A8C2A" w:sz="12"/>
              <w:bottom w:val="single" w:color="AABCD4" w:sz="1"/>
              <w:right w:val="single" w:color="AABCD4" w:sz="1"/>
            </w:tcBorders>
            <w:shd w:fill="F2F7EE" w:val="clear"/>
            <w:tcMar>
              <w:top w:type="dxa" w:w="90"/>
              <w:left w:type="dxa" w:w="200"/>
              <w:bottom w:type="dxa" w:w="90"/>
              <w:right w:type="dxa" w:w="140"/>
            </w:tcMar>
          </w:tcPr>
          <w:p>
            <w:pPr>
              <w:spacing w:after="30" w:before="30"/>
            </w:pPr>
            <w:r>
              <w:rPr>
                <w:rFonts w:ascii="Arial" w:cs="Arial" w:eastAsia="Arial" w:hAnsi="Arial"/>
                <w:color w:val="1A1A1A"/>
                <w:sz w:val="20"/>
                <w:szCs w:val="20"/>
              </w:rPr>
              <w:t xml:space="preserve">Ask what it gives you: systematic rigour is not the goal. Better outcomes for clients are.</w:t>
            </w:r>
          </w:p>
        </w:tc>
      </w:tr>
    </w:tbl>
    <w:p>
      <w:pPr>
        <w:spacing w:after="0" w:before="120"/>
      </w:pPr>
    </w:p>
    <w:p>
      <w:pPr>
        <w:pStyle w:val="Heading1"/>
        <w:pBdr>
          <w:bottom w:val="single" w:color="4A8C2A" w:sz="3" w:space="4"/>
        </w:pBdr>
        <w:spacing w:after="80" w:before="360"/>
      </w:pPr>
      <w:r>
        <w:rPr>
          <w:rFonts w:ascii="Arial" w:cs="Arial" w:eastAsia="Arial" w:hAnsi="Arial"/>
          <w:b/>
          <w:bCs/>
          <w:caps/>
          <w:color w:val="4A8C2A"/>
          <w:sz w:val="24"/>
          <w:szCs w:val="24"/>
        </w:rPr>
        <w:t xml:space="preserve">Why It Is Different</w:t>
      </w:r>
    </w:p>
    <w:p>
      <w:pPr>
        <w:spacing w:after="50" w:before="50" w:line="315" w:lineRule="auto"/>
      </w:pPr>
      <w:r>
        <w:rPr>
          <w:rFonts w:ascii="Arial" w:cs="Arial" w:eastAsia="Arial" w:hAnsi="Arial"/>
          <w:b w:val="false"/>
          <w:bCs w:val="false"/>
          <w:i w:val="false"/>
          <w:iCs w:val="false"/>
          <w:color w:val="3A3A3A"/>
          <w:sz w:val="20"/>
          <w:szCs w:val="20"/>
        </w:rPr>
        <w:t xml:space="preserve">The wealth management technology market is full of platforms that promise systematic rigour and deliver black boxes. That promise matters to us because we have been on the receiving end of those black boxes, as practitioners. We know what it means to have to explain an investment decision to a client or a regulator when the only answer available is “the algorithm recommended it.”</w:t>
      </w:r>
    </w:p>
    <w:p>
      <w:pPr>
        <w:spacing w:after="0" w:before="80"/>
      </w:pPr>
    </w:p>
    <w:p>
      <w:pPr>
        <w:spacing w:after="50" w:before="50" w:line="315" w:lineRule="auto"/>
      </w:pPr>
      <w:r>
        <w:rPr>
          <w:rFonts w:ascii="Arial" w:cs="Arial" w:eastAsia="Arial" w:hAnsi="Arial"/>
          <w:b w:val="false"/>
          <w:bCs w:val="false"/>
          <w:i w:val="false"/>
          <w:iCs w:val="false"/>
          <w:color w:val="3A3A3A"/>
          <w:sz w:val="20"/>
          <w:szCs w:val="20"/>
        </w:rPr>
        <w:t xml:space="preserve">Vektor is honest by design. Every signal has a documented source — the specific technical indicator and its optimised parameters for that instrument. Every signal that reaches an order has passed a second validation layer. Every order has an audit trail that connects it to the signal that created it. The methodology is documented across eleven research papers, each of which is available to any prospective client who wants to understand exactly how it works before they commit.</w:t>
      </w:r>
    </w:p>
    <w:p>
      <w:pPr>
        <w:spacing w:after="0" w:before="80"/>
      </w:pPr>
    </w:p>
    <w:p>
      <w:pPr>
        <w:spacing w:after="50" w:before="50" w:line="315" w:lineRule="auto"/>
      </w:pPr>
      <w:r>
        <w:rPr>
          <w:rFonts w:ascii="Arial" w:cs="Arial" w:eastAsia="Arial" w:hAnsi="Arial"/>
          <w:b w:val="false"/>
          <w:bCs w:val="false"/>
          <w:i w:val="false"/>
          <w:iCs w:val="false"/>
          <w:color w:val="3A3A3A"/>
          <w:sz w:val="20"/>
          <w:szCs w:val="20"/>
        </w:rPr>
        <w:t xml:space="preserve">We do not guarantee returns. We do not claim that any systematic methodology will perform in all market conditions. What we do claim is that our methodology is transparent, that its limitations are documented, and that a wealth manager using Vektor knows exactly what they are using and why.</w:t>
      </w:r>
    </w:p>
    <w:p>
      <w:pPr>
        <w:spacing w:after="0" w:before="120"/>
      </w:pPr>
    </w:p>
    <w:p>
      <w:pPr>
        <w:pStyle w:val="Heading1"/>
        <w:pBdr>
          <w:bottom w:val="single" w:color="4A8C2A" w:sz="3" w:space="4"/>
        </w:pBdr>
        <w:spacing w:after="80" w:before="360"/>
      </w:pPr>
      <w:r>
        <w:rPr>
          <w:rFonts w:ascii="Arial" w:cs="Arial" w:eastAsia="Arial" w:hAnsi="Arial"/>
          <w:b/>
          <w:bCs/>
          <w:caps/>
          <w:color w:val="4A8C2A"/>
          <w:sz w:val="24"/>
          <w:szCs w:val="24"/>
        </w:rPr>
        <w:t xml:space="preserve">The Unvarnished Series</w:t>
      </w:r>
    </w:p>
    <w:p>
      <w:pPr>
        <w:spacing w:after="50" w:before="50" w:line="315" w:lineRule="auto"/>
      </w:pPr>
      <w:r>
        <w:rPr>
          <w:rFonts w:ascii="Arial" w:cs="Arial" w:eastAsia="Arial" w:hAnsi="Arial"/>
          <w:b w:val="false"/>
          <w:bCs w:val="false"/>
          <w:i w:val="false"/>
          <w:iCs w:val="false"/>
          <w:color w:val="3A3A3A"/>
          <w:sz w:val="20"/>
          <w:szCs w:val="20"/>
        </w:rPr>
        <w:t xml:space="preserve">Before we built Vektor, we wrote. The InvestPuppy: Unvarnished series is nine papers on the failure modes of financial software implementation. Not theoretical failure modes. The ones we witnessed, repeatedly, across careers spent inside the institutions that deploy these systems.</w:t>
      </w:r>
    </w:p>
    <w:p>
      <w:pPr>
        <w:spacing w:after="0" w:before="80"/>
      </w:pPr>
    </w:p>
    <w:p>
      <w:pPr>
        <w:spacing w:after="50" w:before="50" w:line="315" w:lineRule="auto"/>
      </w:pPr>
      <w:r>
        <w:rPr>
          <w:rFonts w:ascii="Arial" w:cs="Arial" w:eastAsia="Arial" w:hAnsi="Arial"/>
          <w:b w:val="false"/>
          <w:bCs w:val="false"/>
          <w:i w:val="false"/>
          <w:iCs w:val="false"/>
          <w:color w:val="3A3A3A"/>
          <w:sz w:val="20"/>
          <w:szCs w:val="20"/>
        </w:rPr>
        <w:t xml:space="preserve">The papers describe the accountability gaps, the consultant incentive structures, the UAT processes that test the wrong things, the complexity that serves the vendor rather than the client. They are written from the practitioner’s perspective because that is the only perspective from which they can be written honestly.</w:t>
      </w:r>
    </w:p>
    <w:p>
      <w:pPr>
        <w:spacing w:after="0" w:before="80"/>
      </w:pPr>
    </w:p>
    <w:p>
      <w:pPr>
        <w:spacing w:after="50" w:before="50" w:line="315" w:lineRule="auto"/>
      </w:pPr>
      <w:r>
        <w:rPr>
          <w:rFonts w:ascii="Arial" w:cs="Arial" w:eastAsia="Arial" w:hAnsi="Arial"/>
          <w:b w:val="false"/>
          <w:bCs w:val="false"/>
          <w:i w:val="false"/>
          <w:iCs w:val="false"/>
          <w:color w:val="3A3A3A"/>
          <w:sz w:val="20"/>
          <w:szCs w:val="20"/>
        </w:rPr>
        <w:t xml:space="preserve">We published them before the product pitch, not as a marketing exercise but because we believed they needed to be said. The series has a tagline: “field notes from decades of bad projects.” That is what it is. It is also the foundation of what Vektor is designed to be different from. The nine papers cover the structural failure modes, the accountability vacuum, the incentive structures that benefit consultants at the client’s expense, the discovery-before-configuration sequence, the change request trap, invisible stakeholders, the difference between a tool and a methodology, life after go-live, and why the word user in UAT is not decorative. All nine are available ungated at investpuppy.com.</w:t>
      </w:r>
    </w:p>
    <w:p>
      <w:pPr>
        <w:spacing w:after="0" w:before="120"/>
      </w:pPr>
    </w:p>
    <w:p>
      <w:pPr>
        <w:pStyle w:val="Heading1"/>
        <w:pBdr>
          <w:bottom w:val="single" w:color="4A8C2A" w:sz="3" w:space="4"/>
        </w:pBdr>
        <w:spacing w:after="80" w:before="360"/>
      </w:pPr>
      <w:r>
        <w:rPr>
          <w:rFonts w:ascii="Arial" w:cs="Arial" w:eastAsia="Arial" w:hAnsi="Arial"/>
          <w:b/>
          <w:bCs/>
          <w:caps/>
          <w:color w:val="4A8C2A"/>
          <w:sz w:val="24"/>
          <w:szCs w:val="24"/>
        </w:rPr>
        <w:t xml:space="preserve">What We Believe</w:t>
      </w:r>
    </w:p>
    <w:p>
      <w:pPr>
        <w:spacing w:after="50" w:before="50" w:line="315" w:lineRule="auto"/>
      </w:pPr>
      <w:r>
        <w:rPr>
          <w:rFonts w:ascii="Arial" w:cs="Arial" w:eastAsia="Arial" w:hAnsi="Arial"/>
          <w:b w:val="false"/>
          <w:bCs w:val="false"/>
          <w:i w:val="false"/>
          <w:iCs w:val="false"/>
          <w:color w:val="3A3A3A"/>
          <w:sz w:val="20"/>
          <w:szCs w:val="20"/>
        </w:rPr>
        <w:t xml:space="preserve">Honest by design — not as a marketing phrase but as an operating principle. If a methodology has limitations, we document them. If a platform feature is on the roadmap and not yet live, we say so. If a systematic approach will not perform in certain market conditions, we name those conditions. A client who buys Vektor on the basis of something we said that turned out to be inaccurate is a client we have failed. We prefer to lose the sale.</w:t>
      </w:r>
    </w:p>
    <w:p>
      <w:pPr>
        <w:spacing w:after="0" w:before="80"/>
      </w:pPr>
    </w:p>
    <w:p>
      <w:pPr>
        <w:spacing w:after="50" w:before="50" w:line="315" w:lineRule="auto"/>
      </w:pPr>
      <w:r>
        <w:rPr>
          <w:rFonts w:ascii="Arial" w:cs="Arial" w:eastAsia="Arial" w:hAnsi="Arial"/>
          <w:b w:val="false"/>
          <w:bCs w:val="false"/>
          <w:i w:val="false"/>
          <w:iCs w:val="false"/>
          <w:color w:val="3A3A3A"/>
          <w:sz w:val="20"/>
          <w:szCs w:val="20"/>
        </w:rPr>
        <w:t xml:space="preserve">Serious when it matters — wealth management is a serious business. Clients’ financial futures depend on the quality of the decisions and the rigour of the process. We do not believe that rigour has to come at institutional cost. We do believe it has to come. Vektor exists to make rigorous systematic portfolio management accessible to the professionals who take that responsibility seriously.</w:t>
      </w:r>
    </w:p>
    <w:p>
      <w:pPr>
        <w:spacing w:after="0" w:before="80"/>
      </w:pPr>
    </w:p>
    <w:p>
      <w:pPr>
        <w:spacing w:after="50" w:before="50" w:line="315" w:lineRule="auto"/>
      </w:pPr>
      <w:r>
        <w:rPr>
          <w:rFonts w:ascii="Arial" w:cs="Arial" w:eastAsia="Arial" w:hAnsi="Arial"/>
          <w:b w:val="false"/>
          <w:bCs w:val="false"/>
          <w:i w:val="false"/>
          <w:iCs w:val="false"/>
          <w:color w:val="3A3A3A"/>
          <w:sz w:val="20"/>
          <w:szCs w:val="20"/>
        </w:rPr>
        <w:t xml:space="preserve">Built by practitioners — Vektor was designed and built by professionals who spent careers inside Tier 1 wealth management institutions. The platform’s methodology reflects the standards those institutions apply. The honest acknowledgement of its limitations reflects the understanding that those standards exist for a reason. You cannot build this well from the outside.</w:t>
      </w:r>
    </w:p>
    <w:p>
      <w:pPr>
        <w:spacing w:after="0" w:before="120"/>
      </w:pPr>
    </w:p>
    <w:p>
      <w:pPr>
        <w:pStyle w:val="Heading1"/>
        <w:pBdr>
          <w:bottom w:val="single" w:color="4A8C2A" w:sz="3" w:space="4"/>
        </w:pBdr>
        <w:spacing w:after="80" w:before="360"/>
      </w:pPr>
      <w:r>
        <w:rPr>
          <w:rFonts w:ascii="Arial" w:cs="Arial" w:eastAsia="Arial" w:hAnsi="Arial"/>
          <w:b/>
          <w:bCs/>
          <w:caps/>
          <w:color w:val="4A8C2A"/>
          <w:sz w:val="24"/>
          <w:szCs w:val="24"/>
        </w:rPr>
        <w:t xml:space="preserve">The Name</w:t>
      </w:r>
    </w:p>
    <w:p>
      <w:pPr>
        <w:spacing w:after="50" w:before="50" w:line="315" w:lineRule="auto"/>
      </w:pPr>
      <w:r>
        <w:rPr>
          <w:rFonts w:ascii="Arial" w:cs="Arial" w:eastAsia="Arial" w:hAnsi="Arial"/>
          <w:b w:val="false"/>
          <w:bCs w:val="false"/>
          <w:i w:val="false"/>
          <w:iCs w:val="false"/>
          <w:color w:val="3A3A3A"/>
          <w:sz w:val="20"/>
          <w:szCs w:val="20"/>
        </w:rPr>
        <w:t xml:space="preserve">InvestPuppy. A name that does not sound like anyone else in this space, because we are not trying to. A name you remember before we have said another word about what we do. A name that trusts the product to speak for itself, rather than asking the name to do it.</w:t>
      </w:r>
    </w:p>
    <w:p>
      <w:pPr>
        <w:spacing w:after="0" w:before="80"/>
      </w:pPr>
    </w:p>
    <w:p>
      <w:pPr>
        <w:spacing w:after="50" w:before="50" w:line="315" w:lineRule="auto"/>
      </w:pPr>
      <w:r>
        <w:rPr>
          <w:rFonts w:ascii="Arial" w:cs="Arial" w:eastAsia="Arial" w:hAnsi="Arial"/>
          <w:b w:val="false"/>
          <w:bCs w:val="false"/>
          <w:i w:val="false"/>
          <w:iCs w:val="false"/>
          <w:color w:val="3A3A3A"/>
          <w:sz w:val="20"/>
          <w:szCs w:val="20"/>
        </w:rPr>
        <w:t xml:space="preserve">Vektor. The platform. Named for what it does: a direction and a magnitude. Not just a signal. A signal with force.</w:t>
      </w:r>
    </w:p>
    <w:p>
      <w:pPr>
        <w:spacing w:after="0" w:before="120"/>
      </w:pPr>
    </w:p>
    <w:p>
      <w:pPr>
        <w:pBdr>
          <w:bottom w:val="single" w:color="4A8C2A" w:sz="6" w:space="1"/>
        </w:pBdr>
        <w:spacing w:after="180" w:before="0"/>
      </w:pPr>
    </w:p>
    <w:p>
      <w:pPr>
        <w:spacing w:after="0" w:before="100"/>
      </w:pPr>
    </w:p>
    <w:p>
      <w:pPr>
        <w:spacing w:after="60" w:before="0"/>
      </w:pPr>
      <w:r>
        <w:rPr>
          <w:rFonts w:ascii="Arial" w:cs="Arial" w:eastAsia="Arial" w:hAnsi="Arial"/>
          <w:b/>
          <w:bCs/>
          <w:i/>
          <w:iCs/>
          <w:color w:val="1A1A1A"/>
          <w:sz w:val="21"/>
          <w:szCs w:val="21"/>
        </w:rPr>
        <w:t xml:space="preserve">There has to be a better way. We thought it long enough that we went and built one.</w:t>
      </w:r>
    </w:p>
    <w:p>
      <w:pPr>
        <w:spacing w:after="0" w:before="60"/>
      </w:pPr>
    </w:p>
    <w:p>
      <w:pPr>
        <w:spacing w:after="0" w:before="0"/>
      </w:pPr>
      <w:r>
        <w:rPr>
          <w:rFonts w:ascii="Arial" w:cs="Arial" w:eastAsia="Arial" w:hAnsi="Arial"/>
          <w:color w:val="CCCCCC"/>
          <w:sz w:val="17"/>
          <w:szCs w:val="17"/>
        </w:rPr>
        <w:t xml:space="preserve">InvestPuppy · investpuppy.com · contact@investpuppy.com</w:t>
      </w:r>
    </w:p>
    <w:sectPr>
      <w:headerReference w:type="default" r:id="rId7"/>
      <w:footerReference w:type="default" r:id="rId8"/>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1"/>
      </w:pBdr>
      <w:tabs>
        <w:tab w:val="right" w:pos="8600"/>
      </w:tabs>
      <w:spacing w:after="0" w:before="120"/>
    </w:pPr>
    <w:r>
      <w:rPr>
        <w:rFonts w:ascii="Arial" w:cs="Arial" w:eastAsia="Arial" w:hAnsi="Arial"/>
        <w:i/>
        <w:iCs/>
        <w:color w:val="CCCCCC"/>
        <w:sz w:val="14"/>
        <w:szCs w:val="14"/>
      </w:rPr>
      <w:t xml:space="preserve">Tier 1 · Public</w:t>
    </w:r>
    <w:r>
      <w:rPr>
        <w:rFonts w:ascii="Arial" w:cs="Arial" w:eastAsia="Arial" w:hAnsi="Arial"/>
        <w:color w:val="CCCCCC"/>
        <w:sz w:val="14"/>
        <w:szCs w:val="14"/>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8C2A" w:sz="4" w:space="1"/>
      </w:pBdr>
      <w:tabs>
        <w:tab w:val="right" w:pos="8600"/>
      </w:tabs>
      <w:spacing w:after="120" w:before="0"/>
    </w:pPr>
    <w:r>
      <w:rPr>
        <w:rFonts w:ascii="Arial" w:cs="Arial" w:eastAsia="Arial" w:hAnsi="Arial"/>
        <w:b/>
        <w:bCs/>
        <w:color w:val="4A8C2A"/>
        <w:sz w:val="15"/>
        <w:szCs w:val="15"/>
      </w:rPr>
      <w:t xml:space="preserve">InvestPuppy · Brand Story</w:t>
    </w:r>
    <w:r>
      <w:rPr>
        <w:rFonts w:ascii="Arial" w:cs="Arial" w:eastAsia="Arial" w:hAnsi="Arial"/>
        <w:color w:val="CCCCCC"/>
        <w:sz w:val="14"/>
        <w:szCs w:val="14"/>
      </w:rPr>
      <w:t xml:space="preserve">	investpuppy.com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caps/>
      <w:color w:val="4A8C2A"/>
      <w:sz w:val="24"/>
      <w:szCs w:val="24"/>
    </w:rPr>
  </w:style>
  <w:style w:type="paragraph" w:styleId="Heading2">
    <w:name w:val="Heading 2"/>
    <w:basedOn w:val="Normal"/>
    <w:next w:val="Normal"/>
    <w:qFormat/>
    <w:pPr>
      <w:spacing w:after="60" w:before="240"/>
      <w:outlineLvl w:val="1"/>
    </w:pPr>
    <w:rPr>
      <w:rFonts w:ascii="Arial" w:cs="Arial" w:eastAsia="Arial" w:hAnsi="Arial"/>
      <w:b/>
      <w:bCs/>
      <w:color w:val="1A1A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2026-05-12T15:59:12.067Z</dcterms:created>
  <dcterms:modified xsi:type="dcterms:W3CDTF">2026-05-12T15:59:12.068Z</dcterms:modified>
</cp:coreProperties>
</file>

<file path=docProps/custom.xml><?xml version="1.0" encoding="utf-8"?>
<Properties xmlns="http://schemas.openxmlformats.org/officeDocument/2006/custom-properties" xmlns:vt="http://schemas.openxmlformats.org/officeDocument/2006/docPropsVTypes"/>
</file>