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VEKTOR BY INVESTPUPPY</w:t>
      </w:r>
    </w:p>
    <w:p>
      <w:pPr>
        <w:spacing w:after="80" w:before="0"/>
      </w:pPr>
      <w:r>
        <w:rPr>
          <w:rFonts w:ascii="Arial" w:cs="Arial" w:eastAsia="Arial" w:hAnsi="Arial"/>
          <w:b/>
          <w:bCs/>
          <w:color w:val="E8E8EC"/>
          <w:sz w:val="40"/>
          <w:szCs w:val="40"/>
        </w:rPr>
        <w:t xml:space="preserve">Custodian Bank Partnership</w:t>
      </w:r>
    </w:p>
    <w:p>
      <w:pPr>
        <w:spacing w:after="40" w:before="0"/>
      </w:pPr>
      <w:r>
        <w:rPr>
          <w:rFonts w:ascii="Arial" w:cs="Arial" w:eastAsia="Arial" w:hAnsi="Arial"/>
          <w:b/>
          <w:bCs/>
          <w:color w:val="C62828"/>
          <w:sz w:val="18"/>
          <w:szCs w:val="18"/>
        </w:rPr>
        <w:t xml:space="preserve">Confidential · For NDA recipients only</w:t>
      </w:r>
    </w:p>
    <w:p>
      <w:pPr>
        <w:pBdr>
          <w:bottom w:val="single" w:color="C8A96E" w:sz="10" w:space="1"/>
        </w:pBdr>
        <w:spacing w:after="180" w:before="0"/>
      </w:pPr>
    </w:p>
    <w:p>
      <w:pPr>
        <w:spacing w:after="0" w:before="80"/>
      </w:pPr>
    </w:p>
    <w:p>
      <w:pPr>
        <w:spacing w:after="50" w:before="50" w:line="315" w:lineRule="auto"/>
      </w:pPr>
      <w:r>
        <w:rPr>
          <w:rFonts w:ascii="Arial" w:cs="Arial" w:eastAsia="Arial" w:hAnsi="Arial"/>
          <w:b w:val="false"/>
          <w:bCs w:val="false"/>
          <w:i/>
          <w:iCs/>
          <w:color w:val="E8E2D9"/>
          <w:sz w:val="20"/>
          <w:szCs w:val="20"/>
        </w:rPr>
        <w:t xml:space="preserve">This brief is for COOs, heads of EAM services, and technology partnership leads at custodian banks and wealth platforms. It describes the InvestPuppy partnership model, the commercial structure, and the data governance position.</w:t>
      </w: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The Opportunity</w:t>
      </w:r>
    </w:p>
    <w:p>
      <w:pPr>
        <w:spacing w:after="50" w:before="50" w:line="315" w:lineRule="auto"/>
      </w:pPr>
      <w:r>
        <w:rPr>
          <w:rFonts w:ascii="Arial" w:cs="Arial" w:eastAsia="Arial" w:hAnsi="Arial"/>
          <w:b w:val="false"/>
          <w:bCs w:val="false"/>
          <w:i w:val="false"/>
          <w:iCs w:val="false"/>
          <w:color w:val="E8E2D9"/>
          <w:sz w:val="20"/>
          <w:szCs w:val="20"/>
        </w:rPr>
        <w:t xml:space="preserve">The External Asset Manager segment is growing in Singapore, Switzerland, and the UK. EAMs are licensed investment managers who manage client assets on a discretionary basis, holding those assets at custodian banks and operating independently of them. Licensed EAMs manage substantial AUM on behalf of private clients — typically affluent families, family offices, and institutional investors. The custodian’s relationship with its EAM clients is a significant revenue source — transaction fees, custody fees, FX spreads — and a significant competitive battleground.</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custodian banks winning EAM business are not necessarily the largest or the most established. They are the ones differentiating on service quality — better execution infrastructure, better reporting, better technology tools for the EAM’s own investment process. An EAM choosing between custodians with similar pricing will choose the one that makes its practice more effective.</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compliance environment has sharpened this dynamic. FINMA’s FinIA requirements in Switzerland and MAS’s licensing framework in Singapore both create compliance documentation obligations for EAMs that many cannot currently meet with informal processes. A custodian bank that can help its EAM clients meet those obligations — not through consultants, but through integrated technology — is offering a differentiated proposition that addresses a live problem.</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Vektor gives your EAM clients institutional-grade systematic equity management.</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You offer it as part of your EAM service platform.</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Your EAM clients get the tool. You get the differentiation.</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The Partnership Model</w:t>
      </w:r>
    </w:p>
    <w:p>
      <w:pPr>
        <w:pStyle w:val="Heading2"/>
        <w:spacing w:after="60" w:before="240"/>
      </w:pPr>
      <w:r>
        <w:rPr>
          <w:rFonts w:ascii="Arial" w:cs="Arial" w:eastAsia="Arial" w:hAnsi="Arial"/>
          <w:b/>
          <w:bCs/>
          <w:color w:val="E8E8EC"/>
          <w:sz w:val="21"/>
          <w:szCs w:val="21"/>
        </w:rPr>
        <w:t xml:space="preserve">White-label licensing</w:t>
      </w:r>
    </w:p>
    <w:p>
      <w:pPr>
        <w:spacing w:after="50" w:before="50" w:line="315" w:lineRule="auto"/>
      </w:pPr>
      <w:r>
        <w:rPr>
          <w:rFonts w:ascii="Arial" w:cs="Arial" w:eastAsia="Arial" w:hAnsi="Arial"/>
          <w:b w:val="false"/>
          <w:bCs w:val="false"/>
          <w:i w:val="false"/>
          <w:iCs w:val="false"/>
          <w:color w:val="E8E2D9"/>
          <w:sz w:val="20"/>
          <w:szCs w:val="20"/>
        </w:rPr>
        <w:t xml:space="preserve">InvestPuppy licenses the Vektor systematic construction engine to the custodian bank. The bank makes it available to its EAM client base as part of its EAM service offering. The commercial relationship for EAM clients is with the bank, not with InvestPuppy. EAM clients do not receive an InvestPuppy invoice. They access Vektor through the bank’s platform.</w:t>
      </w:r>
    </w:p>
    <w:p>
      <w:pPr>
        <w:spacing w:after="0" w:before="80"/>
      </w:pPr>
    </w:p>
    <w:p>
      <w:pPr>
        <w:pStyle w:val="Heading2"/>
        <w:spacing w:after="60" w:before="240"/>
      </w:pPr>
      <w:r>
        <w:rPr>
          <w:rFonts w:ascii="Arial" w:cs="Arial" w:eastAsia="Arial" w:hAnsi="Arial"/>
          <w:b/>
          <w:bCs/>
          <w:color w:val="E8E8EC"/>
          <w:sz w:val="21"/>
          <w:szCs w:val="21"/>
        </w:rPr>
        <w:t xml:space="preserve">OpenWealth integration</w:t>
      </w:r>
    </w:p>
    <w:p>
      <w:pPr>
        <w:spacing w:after="50" w:before="50" w:line="315" w:lineRule="auto"/>
      </w:pPr>
      <w:r>
        <w:rPr>
          <w:rFonts w:ascii="Arial" w:cs="Arial" w:eastAsia="Arial" w:hAnsi="Arial"/>
          <w:b w:val="false"/>
          <w:bCs w:val="false"/>
          <w:i w:val="false"/>
          <w:iCs w:val="false"/>
          <w:color w:val="E8E2D9"/>
          <w:sz w:val="20"/>
          <w:szCs w:val="20"/>
        </w:rPr>
        <w:t xml:space="preserve">Vektor connects to the bank’s existing systems via the OpenWealth API standard. Portfolio positions, valuations, transaction data, and order instructions flow through standard endpoints that OpenWealth-compliant systems already understand. Vektor supports any listed equity exchange — SGX, SIX, LSE, NYSE, and others — without architectural change. InvestPuppy’s founding team built the production OpenWealth integration layer for a leading PMS platform. The integration complexity is known and manageable.</w:t>
      </w:r>
    </w:p>
    <w:p>
      <w:pPr>
        <w:spacing w:after="0" w:before="80"/>
      </w:pPr>
    </w:p>
    <w:p>
      <w:pPr>
        <w:pStyle w:val="Heading2"/>
        <w:spacing w:after="60" w:before="240"/>
      </w:pPr>
      <w:r>
        <w:rPr>
          <w:rFonts w:ascii="Arial" w:cs="Arial" w:eastAsia="Arial" w:hAnsi="Arial"/>
          <w:b/>
          <w:bCs/>
          <w:color w:val="E8E8EC"/>
          <w:sz w:val="21"/>
          <w:szCs w:val="21"/>
        </w:rPr>
        <w:t xml:space="preserve">InvestPuppy as prime</w:t>
      </w:r>
    </w:p>
    <w:p>
      <w:pPr>
        <w:spacing w:after="50" w:before="50" w:line="315" w:lineRule="auto"/>
      </w:pPr>
      <w:r>
        <w:rPr>
          <w:rFonts w:ascii="Arial" w:cs="Arial" w:eastAsia="Arial" w:hAnsi="Arial"/>
          <w:b w:val="false"/>
          <w:bCs w:val="false"/>
          <w:i w:val="false"/>
          <w:iCs w:val="false"/>
          <w:color w:val="E8E2D9"/>
          <w:sz w:val="20"/>
          <w:szCs w:val="20"/>
        </w:rPr>
        <w:t xml:space="preserve">InvestPuppy owns the implementation project. InvestPuppy names a project lead who is accountable for the engagement from scoping through hypercare. Specific technical tasks may be subcontracted to qualified specialists on fixed-price terms with defined deliverables, but the client relationship and project ownership remain with InvestPuppy throughout. The bank has one accountable counterpart from day one to go-live. We manage the technical integration, the platform configuration, the EAM onboarding workflow, and the ongoing platform support.</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Commercial Structure</w:t>
      </w:r>
    </w:p>
    <w:p>
      <w:pPr>
        <w:spacing w:after="50" w:before="50" w:line="315" w:lineRule="auto"/>
      </w:pPr>
      <w:r>
        <w:rPr>
          <w:rFonts w:ascii="Arial" w:cs="Arial" w:eastAsia="Arial" w:hAnsi="Arial"/>
          <w:b w:val="false"/>
          <w:bCs w:val="false"/>
          <w:i w:val="false"/>
          <w:iCs w:val="false"/>
          <w:color w:val="E8E2D9"/>
          <w:sz w:val="20"/>
          <w:szCs w:val="20"/>
        </w:rPr>
        <w:t xml:space="preserve">The institutional commercial model is discussed under NDA and structured to the specific partner. The indicative framework is:</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Platform licence</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Annual fee for the right to make Vektor available to the bank’s EAM client base. Scaled to the number of EAM relationships on the platform. Indicative range discussed in partnership conversation.</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Per-mandate component</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Monthly fee per active client mandate running on the platform. Covers platform operation, maintenance, and model updates. Scales with usage.</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Implementation fee</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One-time fixed fee for the integration project — API connectivity, white-label configuration, EAM onboarding workflow setup, UAT, and go-live. Scoped as a fixed-price engagement with defined deliverables.</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Ongoing support</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Included in the platform licence. Defined SLA. InvestPuppy as the accountable support contact throughout the relationship.</w:t>
            </w:r>
          </w:p>
        </w:tc>
      </w:tr>
    </w:tbl>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commercial model is not published. It is developed in the partnership conversation based on the specific bank’s EAM client base size, integration scope, and required configuration. Contact us to begin that conversation.</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Data Governance</w:t>
      </w:r>
    </w:p>
    <w:p>
      <w:pPr>
        <w:spacing w:after="50" w:before="50" w:line="315" w:lineRule="auto"/>
      </w:pPr>
      <w:r>
        <w:rPr>
          <w:rFonts w:ascii="Arial" w:cs="Arial" w:eastAsia="Arial" w:hAnsi="Arial"/>
          <w:b w:val="false"/>
          <w:bCs w:val="false"/>
          <w:i w:val="false"/>
          <w:iCs w:val="false"/>
          <w:color w:val="E8E2D9"/>
          <w:sz w:val="20"/>
          <w:szCs w:val="20"/>
        </w:rPr>
        <w:t xml:space="preserve">Data governance terms are a standard component of the institutional partnership agreement. InvestPuppy’s position on the key questions:</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Data residency</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Client portfolio data is processed on AWS infrastructure. Singapore-based data is processed in the ap-southeast-1 region. European deployments are processed in the EU (eu-west) region. Data residency requirements are confirmed and documented at contract stage.</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Data access</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Client data is isolated per institutional partner and per EAM client. InvestPuppy’s operations team has access only where required for platform support. Access is logged and auditable.</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ML training</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The ML signal validation model is trained per instrument using that instrument’s price history only. Client portfolio data is not used to train models. Strategy and portfolio configurations are not used across clients.</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Data on termination</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On partnership termination, client data is exported to the bank in standard format and deleted from InvestPuppy infrastructure within 30 days. Data retention during the partnership period follows the terms agreed in the data processing agreement.</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Security</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SOC 2 Type II audit is on the roadmap. Current security posture documentation is available under NDA. InvestPuppy will participate in the bank’s standard vendor security assessment process.</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Implementation Approach</w:t>
      </w:r>
    </w:p>
    <w:p>
      <w:pPr>
        <w:spacing w:after="50" w:before="50" w:line="315" w:lineRule="auto"/>
      </w:pPr>
      <w:r>
        <w:rPr>
          <w:rFonts w:ascii="Arial" w:cs="Arial" w:eastAsia="Arial" w:hAnsi="Arial"/>
          <w:b w:val="false"/>
          <w:bCs w:val="false"/>
          <w:i w:val="false"/>
          <w:iCs w:val="false"/>
          <w:color w:val="E8E2D9"/>
          <w:sz w:val="20"/>
          <w:szCs w:val="20"/>
        </w:rPr>
        <w:t xml:space="preserve">The implementation is delivered as a managed project with InvestPuppy as prime contractor. The approach reflects our direct experience of large-scale multi-partner implementations and what the Unvarnished series documents about why they fail. Specific elements:</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Defined scope before engagement.</w:t>
      </w:r>
      <w:r>
        <w:rPr>
          <w:rFonts w:ascii="Arial" w:cs="Arial" w:eastAsia="Arial" w:hAnsi="Arial"/>
          <w:b w:val="false"/>
          <w:bCs w:val="false"/>
          <w:i w:val="false"/>
          <w:iCs w:val="false"/>
          <w:color w:val="E8E2D9"/>
          <w:sz w:val="20"/>
          <w:szCs w:val="20"/>
        </w:rPr>
        <w:t xml:space="preserve"> Every deliverable, acceptance criterion, and timeline milestone is agreed before the project begins. Scope changes are managed through a formal change process.</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Named accountable counterparts.</w:t>
      </w:r>
      <w:r>
        <w:rPr>
          <w:rFonts w:ascii="Arial" w:cs="Arial" w:eastAsia="Arial" w:hAnsi="Arial"/>
          <w:b w:val="false"/>
          <w:bCs w:val="false"/>
          <w:i w:val="false"/>
          <w:iCs w:val="false"/>
          <w:color w:val="E8E2D9"/>
          <w:sz w:val="20"/>
          <w:szCs w:val="20"/>
        </w:rPr>
        <w:t xml:space="preserve"> InvestPuppy names a project lead. The bank names a counterpart with the authority to make decisions and accept deliverables. These two people own the project together.</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Fixed-price delivery.</w:t>
      </w:r>
      <w:r>
        <w:rPr>
          <w:rFonts w:ascii="Arial" w:cs="Arial" w:eastAsia="Arial" w:hAnsi="Arial"/>
          <w:b w:val="false"/>
          <w:bCs w:val="false"/>
          <w:i w:val="false"/>
          <w:iCs w:val="false"/>
          <w:color w:val="E8E2D9"/>
          <w:sz w:val="20"/>
          <w:szCs w:val="20"/>
        </w:rPr>
        <w:t xml:space="preserve"> The implementation fee is a fixed price against the defined scope. Cost overrun risk for defined tasks sits with InvestPuppy, not with the bank.</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UAT run by users.</w:t>
      </w:r>
      <w:r>
        <w:rPr>
          <w:rFonts w:ascii="Arial" w:cs="Arial" w:eastAsia="Arial" w:hAnsi="Arial"/>
          <w:b w:val="false"/>
          <w:bCs w:val="false"/>
          <w:i w:val="false"/>
          <w:iCs w:val="false"/>
          <w:color w:val="E8E2D9"/>
          <w:sz w:val="20"/>
          <w:szCs w:val="20"/>
        </w:rPr>
        <w:t xml:space="preserve"> Acceptance testing is designed and executed by the bank’s own team, not by InvestPuppy. The bank’s acceptance criteria are defined before UAT begins.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Why InvestPuppy</w:t>
      </w:r>
    </w:p>
    <w:p>
      <w:pPr>
        <w:spacing w:after="50" w:before="50" w:line="315" w:lineRule="auto"/>
      </w:pPr>
      <w:r>
        <w:rPr>
          <w:rFonts w:ascii="Arial" w:cs="Arial" w:eastAsia="Arial" w:hAnsi="Arial"/>
          <w:b w:val="false"/>
          <w:bCs w:val="false"/>
          <w:i w:val="false"/>
          <w:iCs w:val="false"/>
          <w:color w:val="E8E2D9"/>
          <w:sz w:val="20"/>
          <w:szCs w:val="20"/>
        </w:rPr>
        <w:t xml:space="preserve">Most technology vendors at this stage would not claim an institutional implementation track record or a production OpenWealth credential. InvestPuppy’s founding team has both. The CEO built the production OpenWealth API layer for one of the market’s leading PMS platforms, deployed across institutions in Europe, the Middle East, and Asia Pacific. The team published nine papers on why financial software implementations fail as foundational work that preceded and informed the product build. Both of those facts are verifiable under NDA.</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We are a pre-revenue platform with a working prototype, an established methodology, and a founding team that knows this space from the inside. The right institutional partner is one who evaluates us on the quality of the technical conversation and the rigour of the methodology, not on the length of our customer list. We are building that list. The terms available to first partners reflect that.</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Next Steps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Initial conversation</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Technical and commercial discussion with the InvestPuppy founding team. We bring the OpenAPI specification, the data model mapping, and the partnership framework. No commitment required.</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NDA</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Mutual confidentiality agreement. Standard two-page document. Required before full team credentials and commercial model detail are shared.</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Scoping</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Technical integration scope, EAM client base sizing, commercial model, and implementation timeline. Approximately 2–3 weeks from initial conversation to term sheet.</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Contact</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contact@investpuppy.com · Reference: Custodian Bank Partnership</w:t>
            </w:r>
          </w:p>
        </w:tc>
      </w:tr>
    </w:tbl>
    <w:p>
      <w:pPr>
        <w:spacing w:after="0" w:before="120"/>
      </w:pPr>
    </w:p>
    <w:p>
      <w:pPr>
        <w:pBdr>
          <w:bottom w:val="single" w:color="C8A96E" w:sz="6" w:space="1"/>
        </w:pBdr>
        <w:spacing w:after="180" w:before="0"/>
      </w:pPr>
    </w:p>
    <w:p>
      <w:pPr>
        <w:spacing w:after="0" w:before="80"/>
      </w:pPr>
    </w:p>
    <w:p>
      <w:pPr>
        <w:spacing w:after="0" w:before="0"/>
      </w:pPr>
      <w:r>
        <w:rPr>
          <w:rFonts w:ascii="Arial" w:cs="Arial" w:eastAsia="Arial" w:hAnsi="Arial"/>
          <w:color w:val="2A2A35"/>
          <w:sz w:val="17"/>
          <w:szCs w:val="17"/>
        </w:rPr>
        <w:t xml:space="preserve">Vektor by InvestPuppy · investpuppy.com · contact@investpuppy.com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3 · NDA Required · Not for distribution</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Vektor · Custodian Bank Partnership</w:t>
    </w:r>
    <w:r>
      <w:rPr>
        <w:rFonts w:ascii="Arial" w:cs="Arial" w:eastAsia="Arial" w:hAnsi="Arial"/>
        <w:color w:val="2A2A35"/>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2026-05-12T15:59:12.798Z</dcterms:created>
  <dcterms:modified xsi:type="dcterms:W3CDTF">2026-05-12T15:59:12.798Z</dcterms:modified>
</cp:coreProperties>
</file>

<file path=docProps/custom.xml><?xml version="1.0" encoding="utf-8"?>
<Properties xmlns="http://schemas.openxmlformats.org/officeDocument/2006/custom-properties" xmlns:vt="http://schemas.openxmlformats.org/officeDocument/2006/docPropsVTypes"/>
</file>