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p>
      <w:pPr>
        <w:spacing w:after="40" w:before="0"/>
      </w:pPr>
      <w:r>
        <w:rPr>
          <w:rFonts w:ascii="Arial" w:cs="Arial" w:eastAsia="Arial" w:hAnsi="Arial"/>
          <w:b/>
          <w:bCs/>
          <w:caps/>
          <w:color w:val="1A3A5C"/>
          <w:sz w:val="14"/>
          <w:szCs w:val="14"/>
        </w:rPr>
        <w:t xml:space="preserve">INVESTPUPPY · INTERNAL REFERENCE</w:t>
      </w:r>
    </w:p>
    <w:p>
      <w:pPr>
        <w:spacing w:after="60" w:before="0"/>
      </w:pPr>
      <w:r>
        <w:rPr>
          <w:rFonts w:ascii="Arial" w:cs="Arial" w:eastAsia="Arial" w:hAnsi="Arial"/>
          <w:b/>
          <w:bCs/>
          <w:color w:val="1A1A1A"/>
          <w:sz w:val="42"/>
          <w:szCs w:val="42"/>
        </w:rPr>
        <w:t xml:space="preserve">Data Residency and Privacy</w:t>
      </w:r>
    </w:p>
    <w:p>
      <w:pPr>
        <w:spacing w:after="40" w:before="0"/>
      </w:pPr>
      <w:r>
        <w:rPr>
          <w:rFonts w:ascii="Arial" w:cs="Arial" w:eastAsia="Arial" w:hAnsi="Arial"/>
          <w:i/>
          <w:iCs/>
          <w:color w:val="666666"/>
          <w:sz w:val="21"/>
          <w:szCs w:val="21"/>
        </w:rPr>
        <w:t xml:space="preserve">A framework for Vektor : Boutique and Vektor : Institutional across target jurisdictions</w:t>
      </w:r>
    </w:p>
    <w:p>
      <w:pPr>
        <w:spacing w:after="0" w:before="0"/>
      </w:pPr>
      <w:r>
        <w:rPr>
          <w:rFonts w:ascii="Arial" w:cs="Arial" w:eastAsia="Arial" w:hAnsi="Arial"/>
          <w:color w:val="666666"/>
          <w:sz w:val="17"/>
          <w:szCs w:val="17"/>
        </w:rPr>
        <w:t xml:space="preserve">May 2026 · Version 2.1 · Draft — pending legal counsel review in each jurisdiction</w:t>
      </w:r>
    </w:p>
    <w:p>
      <w:pPr>
        <w:pBdr>
          <w:bottom w:val="single" w:color="1A3A5C" w:sz="10" w:space="1"/>
        </w:pBdr>
        <w:spacing w:after="160" w:before="0"/>
      </w:pPr>
    </w:p>
    <w:p>
      <w:pPr>
        <w:spacing w:after="0" w:before="60"/>
      </w:pPr>
    </w:p>
    <w:p>
      <w:pPr>
        <w:spacing w:after="50" w:before="50" w:line="318" w:lineRule="auto"/>
      </w:pPr>
      <w:r>
        <w:rPr>
          <w:rFonts w:ascii="Arial" w:cs="Arial" w:eastAsia="Arial" w:hAnsi="Arial"/>
          <w:b w:val="false"/>
          <w:bCs w:val="false"/>
          <w:i/>
          <w:iCs/>
          <w:color w:val="333333"/>
          <w:sz w:val="20"/>
          <w:szCs w:val="20"/>
        </w:rPr>
        <w:t xml:space="preserve">LEGAL DISCLAIMER: This document is InvestPuppy’s internal assessment of the applicable data residency and privacy framework. It does not constitute legal advice. No position in this document should be relied upon as a definitive legal position without confirmation by qualified counsel in the relevant jurisdiction. All positions marked ‘pending legal review’ are preliminary only.</w:t>
      </w:r>
    </w:p>
    <w:p>
      <w:pPr>
        <w:spacing w:after="0" w:before="60"/>
      </w:pPr>
    </w:p>
    <w:p>
      <w:pPr>
        <w:spacing w:after="50" w:before="50" w:line="318" w:lineRule="auto"/>
      </w:pPr>
      <w:r>
        <w:rPr>
          <w:rFonts w:ascii="Arial" w:cs="Arial" w:eastAsia="Arial" w:hAnsi="Arial"/>
          <w:b/>
          <w:bCs/>
          <w:i w:val="false"/>
          <w:iCs w:val="false"/>
          <w:color w:val="333333"/>
          <w:sz w:val="20"/>
          <w:szCs w:val="20"/>
        </w:rPr>
        <w:t xml:space="preserve">Scope: this framework applies to both Vektor : Boutique and Vektor : Institutional. Privacy law obligations exist for both channels. The architecture and the level of obligation differ between channels. This document covers both.</w:t>
      </w:r>
    </w:p>
    <w:p>
      <w:pPr>
        <w:pStyle w:val="Heading1"/>
        <w:pBdr>
          <w:bottom w:val="single" w:color="1A3A5C" w:sz="3" w:space="4"/>
        </w:pBdr>
        <w:spacing w:after="80" w:before="360"/>
      </w:pPr>
      <w:r>
        <w:rPr>
          <w:rFonts w:ascii="Arial" w:cs="Arial" w:eastAsia="Arial" w:hAnsi="Arial"/>
          <w:b/>
          <w:bCs/>
          <w:caps/>
          <w:color w:val="1A3A5C"/>
          <w:sz w:val="24"/>
          <w:szCs w:val="24"/>
        </w:rPr>
        <w:t xml:space="preserve">1 · Purpose and Scope</w:t>
      </w:r>
    </w:p>
    <w:p>
      <w:pPr>
        <w:spacing w:after="50" w:before="50" w:line="318" w:lineRule="auto"/>
      </w:pPr>
      <w:r>
        <w:rPr>
          <w:rFonts w:ascii="Arial" w:cs="Arial" w:eastAsia="Arial" w:hAnsi="Arial"/>
          <w:b w:val="false"/>
          <w:bCs w:val="false"/>
          <w:i w:val="false"/>
          <w:iCs w:val="false"/>
          <w:color w:val="333333"/>
          <w:sz w:val="20"/>
          <w:szCs w:val="20"/>
        </w:rPr>
        <w:t xml:space="preserve">The Vektor platform processes financial data on behalf of wealth management professionals. As the platform distributes across Singapore, Switzerland, the UK, and the Middle East—through both the Vektor : Boutique direct channel and the Vektor : Institutional licensing channel—data residency and privacy requirements are material compliance and commercial considerations for both channels.</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ABCD4" w:sz="1"/>
              <w:left w:val="single" w:color="1A3A5C" w:sz="12"/>
              <w:bottom w:val="single" w:color="AABCD4" w:sz="1"/>
              <w:right w:val="single" w:color="AABCD4" w:sz="1"/>
            </w:tcBorders>
            <w:shd w:fill="FDF9F2"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Privacy law applies to BOTH channels. What differs is the compliance architecture and the level of obligation.</w:t>
            </w:r>
          </w:p>
        </w:tc>
      </w:tr>
      <w:tr>
        <w:tc>
          <w:tcPr>
            <w:tcW w:type="dxa" w:w="8800"/>
            <w:tcBorders>
              <w:top w:val="single" w:color="AABCD4" w:sz="1"/>
              <w:left w:val="single" w:color="1A3A5C" w:sz="12"/>
              <w:bottom w:val="single" w:color="AABCD4" w:sz="1"/>
              <w:right w:val="single" w:color="AABCD4" w:sz="1"/>
            </w:tcBorders>
            <w:shd w:fill="FDF9F2"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Vektor : Boutique — InvestPuppy holds PII. InvestPuppy is a data processor. Standard DPA required with every client.</w:t>
            </w:r>
          </w:p>
        </w:tc>
      </w:tr>
      <w:tr>
        <w:tc>
          <w:tcPr>
            <w:tcW w:type="dxa" w:w="8800"/>
            <w:tcBorders>
              <w:top w:val="single" w:color="AABCD4" w:sz="1"/>
              <w:left w:val="single" w:color="1A3A5C" w:sz="12"/>
              <w:bottom w:val="single" w:color="AABCD4" w:sz="1"/>
              <w:right w:val="single" w:color="AABCD4" w:sz="1"/>
            </w:tcBorders>
            <w:shd w:fill="FDF9F2"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Vektor : Institutional (hybrid) — InvestPuppy holds only pseudonymised data. PII stays in client’s identity vault. DPA obligations materially reduced.</w:t>
            </w:r>
          </w:p>
        </w:tc>
      </w:tr>
      <w:tr>
        <w:tc>
          <w:tcPr>
            <w:tcW w:type="dxa" w:w="8800"/>
            <w:tcBorders>
              <w:top w:val="single" w:color="AABCD4" w:sz="1"/>
              <w:left w:val="single" w:color="1A3A5C" w:sz="12"/>
              <w:bottom w:val="single" w:color="AABCD4" w:sz="1"/>
              <w:right w:val="single" w:color="AABCD4" w:sz="1"/>
            </w:tcBorders>
            <w:shd w:fill="FDF9F2"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This document covers both compliance postures. Do not treat privacy as an institutional-only concern.</w:t>
            </w:r>
          </w:p>
        </w:tc>
      </w:tr>
      <w:tr>
        <w:tc>
          <w:tcPr>
            <w:tcW w:type="dxa" w:w="8800"/>
            <w:tcBorders>
              <w:top w:val="single" w:color="AABCD4" w:sz="1"/>
              <w:left w:val="single" w:color="1A3A5C" w:sz="12"/>
              <w:bottom w:val="single" w:color="AABCD4" w:sz="1"/>
              <w:right w:val="single" w:color="AABCD4" w:sz="1"/>
            </w:tcBorders>
            <w:shd w:fill="FDF9F2"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Developers: read Section 9 (Action Summary) first. P1 items require attention before any institutional deployment.</w:t>
            </w:r>
          </w:p>
        </w:tc>
      </w:tr>
    </w:tbl>
    <w:p>
      <w:pPr>
        <w:spacing w:after="0" w:before="80"/>
      </w:pPr>
    </w:p>
    <w:p>
      <w:pPr>
        <w:spacing w:after="50" w:before="50" w:line="318" w:lineRule="auto"/>
      </w:pPr>
      <w:r>
        <w:rPr>
          <w:rFonts w:ascii="Arial" w:cs="Arial" w:eastAsia="Arial" w:hAnsi="Arial"/>
          <w:b w:val="false"/>
          <w:bCs w:val="false"/>
          <w:i w:val="false"/>
          <w:iCs w:val="false"/>
          <w:color w:val="333333"/>
          <w:sz w:val="20"/>
          <w:szCs w:val="20"/>
        </w:rPr>
        <w:t xml:space="preserve">This document addresses:</w:t>
      </w:r>
    </w:p>
    <w:p>
      <w:pPr>
        <w:pStyle w:val="ListParagraph"/>
        <w:numPr>
          <w:ilvl w:val="0"/>
          <w:numId w:val="2"/>
        </w:numPr>
        <w:spacing w:after="55" w:before="55" w:line="295" w:lineRule="auto"/>
      </w:pPr>
      <w:r>
        <w:rPr>
          <w:rFonts w:ascii="Arial" w:cs="Arial" w:eastAsia="Arial" w:hAnsi="Arial"/>
          <w:color w:val="333333"/>
          <w:sz w:val="20"/>
          <w:szCs w:val="20"/>
        </w:rPr>
        <w:t xml:space="preserve">What data the platform holds and processes, classified at the attribute level</w:t>
      </w:r>
    </w:p>
    <w:p>
      <w:pPr>
        <w:pStyle w:val="ListParagraph"/>
        <w:numPr>
          <w:ilvl w:val="0"/>
          <w:numId w:val="2"/>
        </w:numPr>
        <w:spacing w:after="55" w:before="55" w:line="295" w:lineRule="auto"/>
      </w:pPr>
      <w:r>
        <w:rPr>
          <w:rFonts w:ascii="Arial" w:cs="Arial" w:eastAsia="Arial" w:hAnsi="Arial"/>
          <w:color w:val="333333"/>
          <w:sz w:val="20"/>
          <w:szCs w:val="20"/>
        </w:rPr>
        <w:t xml:space="preserve">What the applicable privacy and data residency requirements are in each target jurisdiction</w:t>
      </w:r>
    </w:p>
    <w:p>
      <w:pPr>
        <w:pStyle w:val="ListParagraph"/>
        <w:numPr>
          <w:ilvl w:val="0"/>
          <w:numId w:val="2"/>
        </w:numPr>
        <w:spacing w:after="55" w:before="55" w:line="295" w:lineRule="auto"/>
      </w:pPr>
      <w:r>
        <w:rPr>
          <w:rFonts w:ascii="Arial" w:cs="Arial" w:eastAsia="Arial" w:hAnsi="Arial"/>
          <w:color w:val="333333"/>
          <w:sz w:val="20"/>
          <w:szCs w:val="20"/>
        </w:rPr>
        <w:t xml:space="preserve">The compliance posture for Vektor : Boutique and for Vektor : Institutional</w:t>
      </w:r>
    </w:p>
    <w:p>
      <w:pPr>
        <w:pStyle w:val="ListParagraph"/>
        <w:numPr>
          <w:ilvl w:val="0"/>
          <w:numId w:val="2"/>
        </w:numPr>
        <w:spacing w:after="55" w:before="55" w:line="295" w:lineRule="auto"/>
      </w:pPr>
      <w:r>
        <w:rPr>
          <w:rFonts w:ascii="Arial" w:cs="Arial" w:eastAsia="Arial" w:hAnsi="Arial"/>
          <w:color w:val="333333"/>
          <w:sz w:val="20"/>
          <w:szCs w:val="20"/>
        </w:rPr>
        <w:t xml:space="preserve">What the development team must do to implement these frameworks</w:t>
      </w:r>
    </w:p>
    <w:p>
      <w:pPr>
        <w:pStyle w:val="Heading1"/>
        <w:pBdr>
          <w:bottom w:val="single" w:color="1A3A5C" w:sz="3" w:space="4"/>
        </w:pBdr>
        <w:spacing w:after="80" w:before="360"/>
      </w:pPr>
      <w:r>
        <w:rPr>
          <w:rFonts w:ascii="Arial" w:cs="Arial" w:eastAsia="Arial" w:hAnsi="Arial"/>
          <w:b/>
          <w:bCs/>
          <w:caps/>
          <w:color w:val="1A3A5C"/>
          <w:sz w:val="24"/>
          <w:szCs w:val="24"/>
        </w:rPr>
        <w:t xml:space="preserve">2 · Data Classification Framework</w:t>
      </w:r>
    </w:p>
    <w:p>
      <w:pPr>
        <w:spacing w:after="50" w:before="50" w:line="318" w:lineRule="auto"/>
      </w:pPr>
      <w:r>
        <w:rPr>
          <w:rFonts w:ascii="Arial" w:cs="Arial" w:eastAsia="Arial" w:hAnsi="Arial"/>
          <w:b w:val="false"/>
          <w:bCs w:val="false"/>
          <w:i w:val="false"/>
          <w:iCs w:val="false"/>
          <w:color w:val="333333"/>
          <w:sz w:val="20"/>
          <w:szCs w:val="20"/>
        </w:rPr>
        <w:t xml:space="preserve">The Vektor data model comprises 17 tables across 4 schemas. Classification is at the attribute level—individual fields, not entire tables—consistent with how privacy law defines personal data across all applicable jurisdictions.</w:t>
      </w:r>
    </w:p>
    <w:p>
      <w:pPr>
        <w:spacing w:after="0" w:before="80"/>
      </w:pPr>
    </w:p>
    <w:p>
      <w:pPr>
        <w:pStyle w:val="Heading2"/>
        <w:spacing w:after="60" w:before="240"/>
      </w:pPr>
      <w:r>
        <w:rPr>
          <w:rFonts w:ascii="Arial" w:cs="Arial" w:eastAsia="Arial" w:hAnsi="Arial"/>
          <w:b/>
          <w:bCs/>
          <w:color w:val="1A1A1A"/>
          <w:sz w:val="21"/>
          <w:szCs w:val="21"/>
        </w:rPr>
        <w:t xml:space="preserve">2.1 The Four Categories</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400"/>
        <w:gridCol w:w="180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Category</w:t>
            </w:r>
          </w:p>
        </w:tc>
        <w:tc>
          <w:tcPr>
            <w:tcW w:type="dxa" w:w="12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Protection</w:t>
            </w:r>
          </w:p>
        </w:tc>
        <w:tc>
          <w:tcPr>
            <w:tcW w:type="dxa" w:w="16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Residence</w:t>
            </w:r>
          </w:p>
        </w:tc>
        <w:tc>
          <w:tcPr>
            <w:tcW w:type="dxa" w:w="24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Examples</w:t>
            </w:r>
          </w:p>
        </w:tc>
        <w:tc>
          <w:tcPr>
            <w:tcW w:type="dxa" w:w="1800"/>
            <w:tcBorders>
              <w:top w:val="single" w:color="CCCCCC" w:sz="1"/>
              <w:left w:val="single" w:color="CCCCCC" w:sz="1"/>
              <w:bottom w:val="single" w:color="CCCCCC" w:sz="1"/>
              <w:right w:val="single" w:color="CCCCCC" w:sz="1"/>
            </w:tcBorders>
            <w:shd w:fill="1A3A5C" w:val="clear"/>
            <w:tcMar>
              <w:top w:type="dxa" w:w="65"/>
              <w:left w:type="dxa" w:w="100"/>
              <w:bottom w:type="dxa" w:w="65"/>
              <w:right w:type="dxa" w:w="100"/>
            </w:tcMar>
          </w:tcPr>
          <w:p>
            <w:r>
              <w:rPr>
                <w:rFonts w:ascii="Arial" w:cs="Arial" w:eastAsia="Arial" w:hAnsi="Arial"/>
                <w:b/>
                <w:bCs/>
                <w:color w:val="FFFFFF"/>
                <w:sz w:val="16"/>
                <w:szCs w:val="16"/>
              </w:rPr>
              <w:t xml:space="preserve">Legal Basis</w:t>
            </w:r>
          </w:p>
        </w:tc>
      </w:tr>
      <w:tr>
        <w:tc>
          <w:tcPr>
            <w:tcW w:type="dxa" w:w="1800"/>
            <w:tcBorders>
              <w:top w:val="single" w:color="CCCCCC" w:sz="1"/>
              <w:left w:val="single" w:color="CCCCCC" w:sz="1"/>
              <w:bottom w:val="single" w:color="CCCCCC" w:sz="1"/>
              <w:right w:val="single" w:color="CCCCCC" w:sz="1"/>
            </w:tcBorders>
            <w:shd w:fill="E8F5E9" w:val="clear"/>
            <w:tcMar>
              <w:top w:type="dxa" w:w="65"/>
              <w:left w:type="dxa" w:w="100"/>
              <w:bottom w:type="dxa" w:w="65"/>
              <w:right w:type="dxa" w:w="100"/>
            </w:tcMar>
          </w:tcPr>
          <w:p>
            <w:r>
              <w:rPr>
                <w:rFonts w:ascii="Arial" w:cs="Arial" w:eastAsia="Arial" w:hAnsi="Arial"/>
                <w:b/>
                <w:bCs/>
                <w:color w:val="2E7D32"/>
                <w:sz w:val="16"/>
                <w:szCs w:val="16"/>
              </w:rPr>
              <w:t xml:space="preserve">Public</w:t>
            </w:r>
          </w:p>
        </w:tc>
        <w:tc>
          <w:tcPr>
            <w:tcW w:type="dxa" w:w="1200"/>
            <w:tcBorders>
              <w:top w:val="single" w:color="CCCCCC" w:sz="1"/>
              <w:left w:val="single" w:color="CCCCCC" w:sz="1"/>
              <w:bottom w:val="single" w:color="CCCCCC" w:sz="1"/>
              <w:right w:val="single" w:color="CCCCCC" w:sz="1"/>
            </w:tcBorders>
            <w:shd w:fill="FDF9F2" w:val="clear"/>
            <w:tcMar>
              <w:top w:type="dxa" w:w="65"/>
              <w:left w:type="dxa" w:w="100"/>
              <w:bottom w:type="dxa" w:w="65"/>
              <w:right w:type="dxa" w:w="100"/>
            </w:tcMar>
          </w:tcPr>
          <w:p>
            <w:r>
              <w:rPr>
                <w:rFonts w:ascii="Arial" w:cs="Arial" w:eastAsia="Arial" w:hAnsi="Arial"/>
                <w:b w:val="false"/>
                <w:bCs w:val="false"/>
                <w:color w:val="333333"/>
                <w:sz w:val="16"/>
                <w:szCs w:val="16"/>
              </w:rPr>
              <w:t xml:space="preserve">None required</w:t>
            </w:r>
          </w:p>
        </w:tc>
        <w:tc>
          <w:tcPr>
            <w:tcW w:type="dxa" w:w="1600"/>
            <w:tcBorders>
              <w:top w:val="single" w:color="CCCCCC" w:sz="1"/>
              <w:left w:val="single" w:color="CCCCCC" w:sz="1"/>
              <w:bottom w:val="single" w:color="CCCCCC" w:sz="1"/>
              <w:right w:val="single" w:color="CCCCCC" w:sz="1"/>
            </w:tcBorders>
            <w:shd w:fill="FDF9F2" w:val="clear"/>
            <w:tcMar>
              <w:top w:type="dxa" w:w="65"/>
              <w:left w:type="dxa" w:w="100"/>
              <w:bottom w:type="dxa" w:w="65"/>
              <w:right w:type="dxa" w:w="100"/>
            </w:tcMar>
          </w:tcPr>
          <w:p>
            <w:r>
              <w:rPr>
                <w:rFonts w:ascii="Arial" w:cs="Arial" w:eastAsia="Arial" w:hAnsi="Arial"/>
                <w:b w:val="false"/>
                <w:bCs w:val="false"/>
                <w:color w:val="333333"/>
                <w:sz w:val="16"/>
                <w:szCs w:val="16"/>
              </w:rPr>
              <w:t xml:space="preserve">Cloud, any region</w:t>
            </w:r>
          </w:p>
        </w:tc>
        <w:tc>
          <w:tcPr>
            <w:tcW w:type="dxa" w:w="2400"/>
            <w:tcBorders>
              <w:top w:val="single" w:color="CCCCCC" w:sz="1"/>
              <w:left w:val="single" w:color="CCCCCC" w:sz="1"/>
              <w:bottom w:val="single" w:color="CCCCCC" w:sz="1"/>
              <w:right w:val="single" w:color="CCCCCC" w:sz="1"/>
            </w:tcBorders>
            <w:shd w:fill="FDF9F2" w:val="clear"/>
            <w:tcMar>
              <w:top w:type="dxa" w:w="65"/>
              <w:left w:type="dxa" w:w="100"/>
              <w:bottom w:type="dxa" w:w="65"/>
              <w:right w:type="dxa" w:w="100"/>
            </w:tcMar>
          </w:tcPr>
          <w:p>
            <w:r>
              <w:rPr>
                <w:rFonts w:ascii="Arial" w:cs="Arial" w:eastAsia="Arial" w:hAnsi="Arial"/>
                <w:b w:val="false"/>
                <w:bCs w:val="false"/>
                <w:color w:val="333333"/>
                <w:sz w:val="16"/>
                <w:szCs w:val="16"/>
              </w:rPr>
              <w:t xml:space="preserve">instrument_master, price_history, exchange_rate tables, risk_free_rate tables</w:t>
            </w:r>
          </w:p>
        </w:tc>
        <w:tc>
          <w:tcPr>
            <w:tcW w:type="dxa" w:w="1800"/>
            <w:tcBorders>
              <w:top w:val="single" w:color="CCCCCC" w:sz="1"/>
              <w:left w:val="single" w:color="CCCCCC" w:sz="1"/>
              <w:bottom w:val="single" w:color="CCCCCC" w:sz="1"/>
              <w:right w:val="single" w:color="CCCCCC" w:sz="1"/>
            </w:tcBorders>
            <w:shd w:fill="FDF9F2" w:val="clear"/>
            <w:tcMar>
              <w:top w:type="dxa" w:w="65"/>
              <w:left w:type="dxa" w:w="100"/>
              <w:bottom w:type="dxa" w:w="65"/>
              <w:right w:type="dxa" w:w="100"/>
            </w:tcMar>
          </w:tcPr>
          <w:p>
            <w:r>
              <w:rPr>
                <w:rFonts w:ascii="Arial" w:cs="Arial" w:eastAsia="Arial" w:hAnsi="Arial"/>
                <w:b w:val="false"/>
                <w:bCs w:val="false"/>
                <w:color w:val="333333"/>
                <w:sz w:val="16"/>
                <w:szCs w:val="16"/>
              </w:rPr>
              <w:t xml:space="preserve">Publicly available market data. No privacy framework applies.</w:t>
            </w:r>
          </w:p>
        </w:tc>
      </w:tr>
      <w:tr>
        <w:tc>
          <w:tcPr>
            <w:tcW w:type="dxa" w:w="1800"/>
            <w:tcBorders>
              <w:top w:val="single" w:color="CCCCCC" w:sz="1"/>
              <w:left w:val="single" w:color="CCCCCC" w:sz="1"/>
              <w:bottom w:val="single" w:color="CCCCCC" w:sz="1"/>
              <w:right w:val="single" w:color="CCCCCC" w:sz="1"/>
            </w:tcBorders>
            <w:shd w:fill="E3F2FD" w:val="clear"/>
            <w:tcMar>
              <w:top w:type="dxa" w:w="65"/>
              <w:left w:type="dxa" w:w="100"/>
              <w:bottom w:type="dxa" w:w="65"/>
              <w:right w:type="dxa" w:w="100"/>
            </w:tcMar>
          </w:tcPr>
          <w:p>
            <w:r>
              <w:rPr>
                <w:rFonts w:ascii="Arial" w:cs="Arial" w:eastAsia="Arial" w:hAnsi="Arial"/>
                <w:b/>
                <w:bCs/>
                <w:color w:val="1A3A5C"/>
                <w:sz w:val="16"/>
                <w:szCs w:val="16"/>
              </w:rPr>
              <w:t xml:space="preserve">Proprietary</w:t>
            </w:r>
          </w:p>
        </w:tc>
        <w:tc>
          <w:tcPr>
            <w:tcW w:type="dxa" w:w="12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333333"/>
                <w:sz w:val="16"/>
                <w:szCs w:val="16"/>
              </w:rPr>
              <w:t xml:space="preserve">Contractual</w:t>
            </w:r>
          </w:p>
        </w:tc>
        <w:tc>
          <w:tcPr>
            <w:tcW w:type="dxa" w:w="1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333333"/>
                <w:sz w:val="16"/>
                <w:szCs w:val="16"/>
              </w:rPr>
              <w:t xml:space="preserve">Cloud with access controls</w:t>
            </w:r>
          </w:p>
        </w:tc>
        <w:tc>
          <w:tcPr>
            <w:tcW w:type="dxa" w:w="2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333333"/>
                <w:sz w:val="16"/>
                <w:szCs w:val="16"/>
              </w:rPr>
              <w:t xml:space="preserve">strategy_master, strategy_instruments</w:t>
            </w:r>
          </w:p>
        </w:tc>
        <w:tc>
          <w:tcPr>
            <w:tcW w:type="dxa" w:w="18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333333"/>
                <w:sz w:val="16"/>
                <w:szCs w:val="16"/>
              </w:rPr>
              <w:t xml:space="preserve">Commercial IP of investment manager. Not personal data. Contractual confidentiality in subscription agreement.</w:t>
            </w:r>
          </w:p>
        </w:tc>
      </w:tr>
      <w:tr>
        <w:tc>
          <w:tcPr>
            <w:tcW w:type="dxa" w:w="1800"/>
            <w:tcBorders>
              <w:top w:val="single" w:color="CCCCCC" w:sz="1"/>
              <w:left w:val="single" w:color="CCCCCC" w:sz="1"/>
              <w:bottom w:val="single" w:color="CCCCCC" w:sz="1"/>
              <w:right w:val="single" w:color="CCCCCC" w:sz="1"/>
            </w:tcBorders>
            <w:shd w:fill="FFF3E0" w:val="clear"/>
            <w:tcMar>
              <w:top w:type="dxa" w:w="65"/>
              <w:left w:type="dxa" w:w="100"/>
              <w:bottom w:type="dxa" w:w="65"/>
              <w:right w:type="dxa" w:w="100"/>
            </w:tcMar>
          </w:tcPr>
          <w:p>
            <w:r>
              <w:rPr>
                <w:rFonts w:ascii="Arial" w:cs="Arial" w:eastAsia="Arial" w:hAnsi="Arial"/>
                <w:b/>
                <w:bCs/>
                <w:color w:val="E65100"/>
                <w:sz w:val="16"/>
                <w:szCs w:val="16"/>
              </w:rPr>
              <w:t xml:space="preserve">Pseudonymised</w:t>
            </w:r>
          </w:p>
        </w:tc>
        <w:tc>
          <w:tcPr>
            <w:tcW w:type="dxa" w:w="1200"/>
            <w:tcBorders>
              <w:top w:val="single" w:color="CCCCCC" w:sz="1"/>
              <w:left w:val="single" w:color="CCCCCC" w:sz="1"/>
              <w:bottom w:val="single" w:color="CCCCCC" w:sz="1"/>
              <w:right w:val="single" w:color="CCCCCC" w:sz="1"/>
            </w:tcBorders>
            <w:shd w:fill="FDF9F2" w:val="clear"/>
            <w:tcMar>
              <w:top w:type="dxa" w:w="65"/>
              <w:left w:type="dxa" w:w="100"/>
              <w:bottom w:type="dxa" w:w="65"/>
              <w:right w:type="dxa" w:w="100"/>
            </w:tcMar>
          </w:tcPr>
          <w:p>
            <w:r>
              <w:rPr>
                <w:rFonts w:ascii="Arial" w:cs="Arial" w:eastAsia="Arial" w:hAnsi="Arial"/>
                <w:b w:val="false"/>
                <w:bCs w:val="false"/>
                <w:color w:val="333333"/>
                <w:sz w:val="16"/>
                <w:szCs w:val="16"/>
              </w:rPr>
              <w:t xml:space="preserve">UUID separation</w:t>
            </w:r>
          </w:p>
        </w:tc>
        <w:tc>
          <w:tcPr>
            <w:tcW w:type="dxa" w:w="1600"/>
            <w:tcBorders>
              <w:top w:val="single" w:color="CCCCCC" w:sz="1"/>
              <w:left w:val="single" w:color="CCCCCC" w:sz="1"/>
              <w:bottom w:val="single" w:color="CCCCCC" w:sz="1"/>
              <w:right w:val="single" w:color="CCCCCC" w:sz="1"/>
            </w:tcBorders>
            <w:shd w:fill="FDF9F2" w:val="clear"/>
            <w:tcMar>
              <w:top w:type="dxa" w:w="65"/>
              <w:left w:type="dxa" w:w="100"/>
              <w:bottom w:type="dxa" w:w="65"/>
              <w:right w:type="dxa" w:w="100"/>
            </w:tcMar>
          </w:tcPr>
          <w:p>
            <w:r>
              <w:rPr>
                <w:rFonts w:ascii="Arial" w:cs="Arial" w:eastAsia="Arial" w:hAnsi="Arial"/>
                <w:b w:val="false"/>
                <w:bCs w:val="false"/>
                <w:color w:val="333333"/>
                <w:sz w:val="16"/>
                <w:szCs w:val="16"/>
              </w:rPr>
              <w:t xml:space="preserve">Cloud (no PII in cloud)</w:t>
            </w:r>
          </w:p>
        </w:tc>
        <w:tc>
          <w:tcPr>
            <w:tcW w:type="dxa" w:w="2400"/>
            <w:tcBorders>
              <w:top w:val="single" w:color="CCCCCC" w:sz="1"/>
              <w:left w:val="single" w:color="CCCCCC" w:sz="1"/>
              <w:bottom w:val="single" w:color="CCCCCC" w:sz="1"/>
              <w:right w:val="single" w:color="CCCCCC" w:sz="1"/>
            </w:tcBorders>
            <w:shd w:fill="FDF9F2" w:val="clear"/>
            <w:tcMar>
              <w:top w:type="dxa" w:w="65"/>
              <w:left w:type="dxa" w:w="100"/>
              <w:bottom w:type="dxa" w:w="65"/>
              <w:right w:type="dxa" w:w="100"/>
            </w:tcMar>
          </w:tcPr>
          <w:p>
            <w:r>
              <w:rPr>
                <w:rFonts w:ascii="Arial" w:cs="Arial" w:eastAsia="Arial" w:hAnsi="Arial"/>
                <w:b w:val="false"/>
                <w:bCs w:val="false"/>
                <w:color w:val="333333"/>
                <w:sz w:val="16"/>
                <w:szCs w:val="16"/>
              </w:rPr>
              <w:t xml:space="preserve">portfolio_positions, cash_accounts, cash_movements, instrument_movements, orders, order_events</w:t>
            </w:r>
          </w:p>
        </w:tc>
        <w:tc>
          <w:tcPr>
            <w:tcW w:type="dxa" w:w="1800"/>
            <w:tcBorders>
              <w:top w:val="single" w:color="CCCCCC" w:sz="1"/>
              <w:left w:val="single" w:color="CCCCCC" w:sz="1"/>
              <w:bottom w:val="single" w:color="CCCCCC" w:sz="1"/>
              <w:right w:val="single" w:color="CCCCCC" w:sz="1"/>
            </w:tcBorders>
            <w:shd w:fill="FDF9F2" w:val="clear"/>
            <w:tcMar>
              <w:top w:type="dxa" w:w="65"/>
              <w:left w:type="dxa" w:w="100"/>
              <w:bottom w:type="dxa" w:w="65"/>
              <w:right w:type="dxa" w:w="100"/>
            </w:tcMar>
          </w:tcPr>
          <w:p>
            <w:r>
              <w:rPr>
                <w:rFonts w:ascii="Arial" w:cs="Arial" w:eastAsia="Arial" w:hAnsi="Arial"/>
                <w:b w:val="false"/>
                <w:bCs w:val="false"/>
                <w:color w:val="333333"/>
                <w:sz w:val="16"/>
                <w:szCs w:val="16"/>
              </w:rPr>
              <w:t xml:space="preserve">UUID-keyed operational data. Not personal data when UUID-to-identity key is held separately by the client. Cloud-safe under GDPR Article 4(5) pseudonymisation definition.</w:t>
            </w:r>
          </w:p>
        </w:tc>
      </w:tr>
      <w:tr>
        <w:tc>
          <w:tcPr>
            <w:tcW w:type="dxa" w:w="1800"/>
            <w:tcBorders>
              <w:top w:val="single" w:color="CCCCCC" w:sz="1"/>
              <w:left w:val="single" w:color="CCCCCC" w:sz="1"/>
              <w:bottom w:val="single" w:color="CCCCCC" w:sz="1"/>
              <w:right w:val="single" w:color="CCCCCC" w:sz="1"/>
            </w:tcBorders>
            <w:shd w:fill="FFEBEE" w:val="clear"/>
            <w:tcMar>
              <w:top w:type="dxa" w:w="65"/>
              <w:left w:type="dxa" w:w="100"/>
              <w:bottom w:type="dxa" w:w="65"/>
              <w:right w:type="dxa" w:w="100"/>
            </w:tcMar>
          </w:tcPr>
          <w:p>
            <w:r>
              <w:rPr>
                <w:rFonts w:ascii="Arial" w:cs="Arial" w:eastAsia="Arial" w:hAnsi="Arial"/>
                <w:b/>
                <w:bCs/>
                <w:color w:val="C62828"/>
                <w:sz w:val="16"/>
                <w:szCs w:val="16"/>
              </w:rPr>
              <w:t xml:space="preserve">PII Only</w:t>
            </w:r>
          </w:p>
        </w:tc>
        <w:tc>
          <w:tcPr>
            <w:tcW w:type="dxa" w:w="12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333333"/>
                <w:sz w:val="16"/>
                <w:szCs w:val="16"/>
              </w:rPr>
              <w:t xml:space="preserve">DPA (Boutique) or identity vault (Institutional)</w:t>
            </w:r>
          </w:p>
        </w:tc>
        <w:tc>
          <w:tcPr>
            <w:tcW w:type="dxa" w:w="1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333333"/>
                <w:sz w:val="16"/>
                <w:szCs w:val="16"/>
              </w:rPr>
              <w:t xml:space="preserve">Cloud within DPA (Boutique) or on-prem vault (Institutional)</w:t>
            </w:r>
          </w:p>
        </w:tc>
        <w:tc>
          <w:tcPr>
            <w:tcW w:type="dxa" w:w="2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333333"/>
                <w:sz w:val="16"/>
                <w:szCs w:val="16"/>
              </w:rPr>
              <w:t xml:space="preserve">customer_name and direct identifiers in customer_master</w:t>
            </w:r>
          </w:p>
        </w:tc>
        <w:tc>
          <w:tcPr>
            <w:tcW w:type="dxa" w:w="18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333333"/>
                <w:sz w:val="16"/>
                <w:szCs w:val="16"/>
              </w:rPr>
              <w:t xml:space="preserve">Personal data under all applicable frameworks. Requires DPA in standard cloud model; requires on-prem vault in hybrid model.</w:t>
            </w:r>
          </w:p>
        </w:tc>
      </w:tr>
    </w:tbl>
    <w:p>
      <w:pPr>
        <w:spacing w:after="0" w:before="80"/>
      </w:pPr>
    </w:p>
    <w:p>
      <w:pPr>
        <w:pStyle w:val="Heading2"/>
        <w:spacing w:after="60" w:before="240"/>
      </w:pPr>
      <w:r>
        <w:rPr>
          <w:rFonts w:ascii="Arial" w:cs="Arial" w:eastAsia="Arial" w:hAnsi="Arial"/>
          <w:b/>
          <w:bCs/>
          <w:color w:val="1A1A1A"/>
          <w:sz w:val="21"/>
          <w:szCs w:val="21"/>
        </w:rPr>
        <w:t xml:space="preserve">2.2 Public Reference Data</w:t>
      </w:r>
    </w:p>
    <w:p>
      <w:pPr>
        <w:spacing w:after="50" w:before="50" w:line="318" w:lineRule="auto"/>
      </w:pPr>
      <w:r>
        <w:rPr>
          <w:rFonts w:ascii="Arial" w:cs="Arial" w:eastAsia="Arial" w:hAnsi="Arial"/>
          <w:b w:val="false"/>
          <w:bCs w:val="false"/>
          <w:i w:val="false"/>
          <w:iCs w:val="false"/>
          <w:color w:val="333333"/>
          <w:sz w:val="20"/>
          <w:szCs w:val="20"/>
        </w:rPr>
        <w:t xml:space="preserve">All tables in the market_data schema contain publicly available information: ticker symbols, ISINs, OHLCV price data (collected from Yahoo Finance), exchange rates, and risk-free rates. None of this data is personal data under any applicable framework. It requires no privacy protection beyond standard vendor contractual terms. Cloud-hosted without qualification.</w:t>
      </w:r>
    </w:p>
    <w:p>
      <w:pPr>
        <w:spacing w:after="0" w:before="80"/>
      </w:pPr>
    </w:p>
    <w:p>
      <w:pPr>
        <w:pStyle w:val="Heading2"/>
        <w:spacing w:after="60" w:before="240"/>
      </w:pPr>
      <w:r>
        <w:rPr>
          <w:rFonts w:ascii="Arial" w:cs="Arial" w:eastAsia="Arial" w:hAnsi="Arial"/>
          <w:b/>
          <w:bCs/>
          <w:color w:val="1A1A1A"/>
          <w:sz w:val="21"/>
          <w:szCs w:val="21"/>
        </w:rPr>
        <w:t xml:space="preserve">2.3 Proprietary Business Data</w:t>
      </w:r>
    </w:p>
    <w:p>
      <w:pPr>
        <w:spacing w:after="50" w:before="50" w:line="318" w:lineRule="auto"/>
      </w:pPr>
      <w:r>
        <w:rPr>
          <w:rFonts w:ascii="Arial" w:cs="Arial" w:eastAsia="Arial" w:hAnsi="Arial"/>
          <w:b w:val="false"/>
          <w:bCs w:val="false"/>
          <w:i w:val="false"/>
          <w:iCs w:val="false"/>
          <w:color w:val="333333"/>
          <w:sz w:val="20"/>
          <w:szCs w:val="20"/>
        </w:rPr>
        <w:t xml:space="preserve">strategy_master and strategy_instruments contain the investment methodology configuration—instrument selections, weights, indicator assignments, backtest results. This is the IP of the investment manager. It is not personal data. Protection is contractual: the subscription agreement specifies that InvestPuppy holds strategy data confidentially and does not use it for any purpose other than operating the service.</w:t>
      </w:r>
    </w:p>
    <w:p>
      <w:pPr>
        <w:spacing w:after="0" w:before="60"/>
      </w:pPr>
    </w:p>
    <w:p>
      <w:pPr>
        <w:pBdr>
          <w:left w:val="single" w:color="C8A96E" w:sz="12" w:space="6"/>
        </w:pBdr>
        <w:spacing w:after="40" w:before="40" w:line="300" w:lineRule="auto"/>
        <w:ind w:left="400"/>
      </w:pPr>
      <w:r>
        <w:rPr>
          <w:rFonts w:ascii="Arial" w:cs="Arial" w:eastAsia="Arial" w:hAnsi="Arial"/>
          <w:i/>
          <w:iCs/>
          <w:color w:val="666666"/>
          <w:sz w:val="18"/>
          <w:szCs w:val="18"/>
        </w:rPr>
        <w:t xml:space="preserve">Open question for legal review: can InvestPuppy use aggregated, anonymised strategy data across clients to improve the ML model or publish research? If so, this use must be disclosed in the subscription agreement. If not, the prohibition must also be explicit. This is a contractual scope decision, not a classification question.</w:t>
      </w:r>
    </w:p>
    <w:p>
      <w:pPr>
        <w:spacing w:after="0" w:before="80"/>
      </w:pPr>
    </w:p>
    <w:p>
      <w:pPr>
        <w:pStyle w:val="Heading2"/>
        <w:spacing w:after="60" w:before="240"/>
      </w:pPr>
      <w:r>
        <w:rPr>
          <w:rFonts w:ascii="Arial" w:cs="Arial" w:eastAsia="Arial" w:hAnsi="Arial"/>
          <w:b/>
          <w:bCs/>
          <w:color w:val="1A1A1A"/>
          <w:sz w:val="21"/>
          <w:szCs w:val="21"/>
        </w:rPr>
        <w:t xml:space="preserve">2.4 Pseudonymised Operational Data</w:t>
      </w:r>
    </w:p>
    <w:p>
      <w:pPr>
        <w:spacing w:after="50" w:before="50" w:line="318" w:lineRule="auto"/>
      </w:pPr>
      <w:r>
        <w:rPr>
          <w:rFonts w:ascii="Arial" w:cs="Arial" w:eastAsia="Arial" w:hAnsi="Arial"/>
          <w:b w:val="false"/>
          <w:bCs w:val="false"/>
          <w:i w:val="false"/>
          <w:iCs w:val="false"/>
          <w:color w:val="333333"/>
          <w:sz w:val="20"/>
          <w:szCs w:val="20"/>
        </w:rPr>
        <w:t xml:space="preserve">The operational tables contain portfolio holdings, transactions, and orders keyed to UUID identifiers. Whether this constitutes personal data depends on whether the UUID can be linked to a natural person.</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Under GDPR Article 4(5), pseudonymisation is “processing of personal data in such a manner that it can no longer be attributed to a specific data subject without the use of additional information, provided that such additional information is kept separately.” In the Vektor hybrid model, the UUID-to-identity mapping is held exclusively in the client’s on-premises identity vault. InvestPuppy’s cloud holds only the UUIDs. Under the principle in Breyer v Bundesrepublik Deutschland (CJEU C-582/14), a party that cannot reasonably access the additional information required to identify the data subject is not processing personal data.</w:t>
      </w:r>
    </w:p>
    <w:p>
      <w:pPr>
        <w:spacing w:after="0" w:before="60"/>
      </w:pPr>
    </w:p>
    <w:p>
      <w:pPr>
        <w:pBdr>
          <w:left w:val="single" w:color="C8A96E" w:sz="12" w:space="6"/>
        </w:pBdr>
        <w:spacing w:after="40" w:before="40" w:line="300" w:lineRule="auto"/>
        <w:ind w:left="400"/>
      </w:pPr>
      <w:r>
        <w:rPr>
          <w:rFonts w:ascii="Arial" w:cs="Arial" w:eastAsia="Arial" w:hAnsi="Arial"/>
          <w:i/>
          <w:iCs/>
          <w:color w:val="666666"/>
          <w:sz w:val="18"/>
          <w:szCs w:val="18"/>
        </w:rPr>
        <w:t xml:space="preserve">The Breyer principle is the strongest available legal argument for this position. Confirmation is required from qualified counsel in each jurisdiction. The principle applies to the hybrid deployment model. In the standard cloud model (Vektor : Boutique), InvestPuppy holds both the UUIDs and the PII—the pseudonymisation argument does not apply.</w:t>
      </w:r>
    </w:p>
    <w:p>
      <w:pPr>
        <w:spacing w:after="0" w:before="60"/>
      </w:pPr>
    </w:p>
    <w:p>
      <w:pPr>
        <w:pBdr>
          <w:left w:val="single" w:color="C8A96E" w:sz="12" w:space="6"/>
        </w:pBdr>
        <w:spacing w:after="40" w:before="40" w:line="300" w:lineRule="auto"/>
        <w:ind w:left="400"/>
      </w:pPr>
      <w:r>
        <w:rPr>
          <w:rFonts w:ascii="Arial" w:cs="Arial" w:eastAsia="Arial" w:hAnsi="Arial"/>
          <w:i/>
          <w:iCs/>
          <w:color w:val="666666"/>
          <w:sz w:val="18"/>
          <w:szCs w:val="18"/>
        </w:rPr>
        <w:t xml:space="preserve">The Breyer principle (CJEU C-582/14) is an EU court ruling. Singapore courts are not bound by EU precedent and there is no equivalent Singapore ruling. The applicability of the Breyer reasoning to the Singapore PDPA pseudonymisation position requires independent Singapore counsel confirmation and should not be assumed from the GDPR analysis.</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Aggregate re-identification risk: while individual pseudonymised fields are not personal data, combinations of operational data (trading frequency, portfolio size, specific instrument selections in a small user base) may allow inference about the underlying individual—the ‘mosaic effect.’ This risk is low in a large user base but should be considered if the platform operates with fewer than 50 active portfolios. Legal counsel should advise on whether aggregate risk affects the pseudonymisation position.</w:t>
      </w:r>
    </w:p>
    <w:p>
      <w:pPr>
        <w:spacing w:after="0" w:before="80"/>
      </w:pPr>
    </w:p>
    <w:p>
      <w:pPr>
        <w:pStyle w:val="Heading2"/>
        <w:spacing w:after="60" w:before="240"/>
      </w:pPr>
      <w:r>
        <w:rPr>
          <w:rFonts w:ascii="Arial" w:cs="Arial" w:eastAsia="Arial" w:hAnsi="Arial"/>
          <w:b/>
          <w:bCs/>
          <w:color w:val="1A1A1A"/>
          <w:sz w:val="21"/>
          <w:szCs w:val="21"/>
        </w:rPr>
        <w:t xml:space="preserve">2.5 Personal Identifying Data (PII Only)</w:t>
      </w:r>
    </w:p>
    <w:p>
      <w:pPr>
        <w:spacing w:after="50" w:before="50" w:line="318" w:lineRule="auto"/>
      </w:pPr>
      <w:r>
        <w:rPr>
          <w:rFonts w:ascii="Arial" w:cs="Arial" w:eastAsia="Arial" w:hAnsi="Arial"/>
          <w:b w:val="false"/>
          <w:bCs w:val="false"/>
          <w:i w:val="false"/>
          <w:iCs w:val="false"/>
          <w:color w:val="333333"/>
          <w:sz w:val="20"/>
          <w:szCs w:val="20"/>
        </w:rPr>
        <w:t xml:space="preserve">The following attributes in customer_master constitute personal data under all applicable frameworks:</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customer_name</w:t>
      </w:r>
      <w:r>
        <w:rPr>
          <w:rFonts w:ascii="Arial" w:cs="Arial" w:eastAsia="Arial" w:hAnsi="Arial"/>
          <w:b w:val="false"/>
          <w:bCs w:val="false"/>
          <w:i w:val="false"/>
          <w:iCs w:val="false"/>
          <w:color w:val="333333"/>
          <w:sz w:val="20"/>
          <w:szCs w:val="20"/>
        </w:rPr>
        <w:t xml:space="preserve">— the name of the client or entity</w:t>
      </w:r>
    </w:p>
    <w:p>
      <w:pPr>
        <w:pStyle w:val="ListParagraph"/>
        <w:numPr>
          <w:ilvl w:val="0"/>
          <w:numId w:val="2"/>
        </w:numPr>
        <w:spacing w:after="55" w:before="55" w:line="295" w:lineRule="auto"/>
      </w:pPr>
      <w:r>
        <w:rPr>
          <w:rFonts w:ascii="Arial" w:cs="Arial" w:eastAsia="Arial" w:hAnsi="Arial"/>
          <w:color w:val="333333"/>
          <w:sz w:val="20"/>
          <w:szCs w:val="20"/>
        </w:rPr>
        <w:t xml:space="preserve">Address fields (if implemented)</w:t>
      </w:r>
    </w:p>
    <w:p>
      <w:pPr>
        <w:pStyle w:val="ListParagraph"/>
        <w:numPr>
          <w:ilvl w:val="0"/>
          <w:numId w:val="2"/>
        </w:numPr>
        <w:spacing w:after="55" w:before="55" w:line="295" w:lineRule="auto"/>
      </w:pPr>
      <w:r>
        <w:rPr>
          <w:rFonts w:ascii="Arial" w:cs="Arial" w:eastAsia="Arial" w:hAnsi="Arial"/>
          <w:color w:val="333333"/>
          <w:sz w:val="20"/>
          <w:szCs w:val="20"/>
        </w:rPr>
        <w:t xml:space="preserve">Date of birth (if stored)</w:t>
      </w:r>
    </w:p>
    <w:p>
      <w:pPr>
        <w:pStyle w:val="ListParagraph"/>
        <w:numPr>
          <w:ilvl w:val="0"/>
          <w:numId w:val="2"/>
        </w:numPr>
        <w:spacing w:after="55" w:before="55" w:line="295" w:lineRule="auto"/>
      </w:pPr>
      <w:r>
        <w:rPr>
          <w:rFonts w:ascii="Arial" w:cs="Arial" w:eastAsia="Arial" w:hAnsi="Arial"/>
          <w:color w:val="333333"/>
          <w:sz w:val="20"/>
          <w:szCs w:val="20"/>
        </w:rPr>
        <w:t xml:space="preserve">National identification number, passport number, or equivalent</w:t>
      </w:r>
    </w:p>
    <w:p>
      <w:pPr>
        <w:pStyle w:val="ListParagraph"/>
        <w:numPr>
          <w:ilvl w:val="0"/>
          <w:numId w:val="2"/>
        </w:numPr>
        <w:spacing w:after="55" w:before="55" w:line="295" w:lineRule="auto"/>
      </w:pPr>
      <w:r>
        <w:rPr>
          <w:rFonts w:ascii="Arial" w:cs="Arial" w:eastAsia="Arial" w:hAnsi="Arial"/>
          <w:color w:val="333333"/>
          <w:sz w:val="20"/>
          <w:szCs w:val="20"/>
        </w:rPr>
        <w:t xml:space="preserve">Contact details: phone number, email address</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portfolio_name</w:t>
      </w:r>
      <w:r>
        <w:rPr>
          <w:rFonts w:ascii="Arial" w:cs="Arial" w:eastAsia="Arial" w:hAnsi="Arial"/>
          <w:b w:val="false"/>
          <w:bCs w:val="false"/>
          <w:i w:val="false"/>
          <w:iCs w:val="false"/>
          <w:color w:val="333333"/>
          <w:sz w:val="20"/>
          <w:szCs w:val="20"/>
        </w:rPr>
        <w:t xml:space="preserve">— if it contains client-identifying terms (e.g. ‘Chen Family Growth’). Generic names are not PII.</w:t>
      </w:r>
    </w:p>
    <w:p>
      <w:pPr>
        <w:spacing w:after="0" w:before="80"/>
      </w:pPr>
    </w:p>
    <w:p>
      <w:pPr>
        <w:pStyle w:val="Heading2"/>
        <w:spacing w:after="60" w:before="240"/>
      </w:pPr>
      <w:r>
        <w:rPr>
          <w:rFonts w:ascii="Arial" w:cs="Arial" w:eastAsia="Arial" w:hAnsi="Arial"/>
          <w:b/>
          <w:bCs/>
          <w:color w:val="1A1A1A"/>
          <w:sz w:val="21"/>
          <w:szCs w:val="21"/>
        </w:rPr>
        <w:t xml:space="preserve">2.6 Boundary Cases Requiring Legal Opinion</w:t>
      </w:r>
    </w:p>
    <w:p>
      <w:pPr>
        <w:spacing w:after="50" w:before="50" w:line="318" w:lineRule="auto"/>
      </w:pPr>
      <w:r>
        <w:rPr>
          <w:rFonts w:ascii="Arial" w:cs="Arial" w:eastAsia="Arial" w:hAnsi="Arial"/>
          <w:b w:val="false"/>
          <w:bCs w:val="false"/>
          <w:i w:val="false"/>
          <w:iCs w:val="false"/>
          <w:color w:val="333333"/>
          <w:sz w:val="20"/>
          <w:szCs w:val="20"/>
        </w:rPr>
        <w:t xml:space="preserve">The following fields are classified as PSEUDO in the attribute table but are flagged as boundary cases. Legal counsel in each jurisdiction should confirm their classification before the framework is relied upon commercially.</w:t>
      </w:r>
    </w:p>
    <w:p>
      <w:pPr>
        <w:spacing w:after="0" w:before="60"/>
      </w:pPr>
    </w:p>
    <w:p>
      <w:pPr>
        <w:pBdr>
          <w:left w:val="single" w:color="C62828" w:sz="12" w:space="6"/>
        </w:pBdr>
        <w:shd w:fill="FFF8F8" w:val="clear"/>
        <w:spacing w:after="50" w:before="50"/>
      </w:pPr>
      <w:r>
        <w:rPr>
          <w:rFonts w:ascii="Arial" w:cs="Arial" w:eastAsia="Arial" w:hAnsi="Arial"/>
          <w:b/>
          <w:bCs/>
          <w:color w:val="C62828"/>
          <w:sz w:val="19"/>
          <w:szCs w:val="19"/>
        </w:rPr>
        <w:t xml:space="preserve">⚠ kyc_status: values include ‘rejected’ which reveals compliance risk characteristics of an individual. Some frameworks may classify this as sensitive data beyond standard personal data. Treat as PSEUDO pending legal confirmation.</w:t>
      </w:r>
    </w:p>
    <w:p>
      <w:pPr>
        <w:spacing w:after="0" w:before="40"/>
      </w:pPr>
    </w:p>
    <w:p>
      <w:pPr>
        <w:pBdr>
          <w:left w:val="single" w:color="C62828" w:sz="12" w:space="6"/>
        </w:pBdr>
        <w:shd w:fill="FFF8F8" w:val="clear"/>
        <w:spacing w:after="50" w:before="50"/>
      </w:pPr>
      <w:r>
        <w:rPr>
          <w:rFonts w:ascii="Arial" w:cs="Arial" w:eastAsia="Arial" w:hAnsi="Arial"/>
          <w:b/>
          <w:bCs/>
          <w:color w:val="C62828"/>
          <w:sz w:val="19"/>
          <w:szCs w:val="19"/>
        </w:rPr>
        <w:t xml:space="preserve">⚠ risk_profile: values are conservative/moderate/aggressive financial profiling data. GDPR Recital 71 identifies profiling as a specific concern. May warrant additional safeguards in some jurisdictions.</w:t>
      </w:r>
    </w:p>
    <w:p>
      <w:pPr>
        <w:spacing w:after="0" w:before="40"/>
      </w:pPr>
    </w:p>
    <w:p>
      <w:pPr>
        <w:pBdr>
          <w:left w:val="single" w:color="C62828" w:sz="12" w:space="6"/>
        </w:pBdr>
        <w:shd w:fill="FFF8F8" w:val="clear"/>
        <w:spacing w:after="50" w:before="50"/>
      </w:pPr>
      <w:r>
        <w:rPr>
          <w:rFonts w:ascii="Arial" w:cs="Arial" w:eastAsia="Arial" w:hAnsi="Arial"/>
          <w:b/>
          <w:bCs/>
          <w:color w:val="C62828"/>
          <w:sz w:val="19"/>
          <w:szCs w:val="19"/>
        </w:rPr>
        <w:t xml:space="preserve">⚠ broker_order_id: IBKR order references may be traceable to the real client account through IBKR if InvestPuppy is compelled to disclose them. Classified as PSEUDO but has a potential re-identification path through the broker. Legal assessment required.</w:t>
      </w:r>
    </w:p>
    <w:p>
      <w:pPr>
        <w:pStyle w:val="Heading1"/>
        <w:pBdr>
          <w:bottom w:val="single" w:color="1A3A5C" w:sz="3" w:space="4"/>
        </w:pBdr>
        <w:spacing w:after="80" w:before="360"/>
      </w:pPr>
      <w:r>
        <w:rPr>
          <w:rFonts w:ascii="Arial" w:cs="Arial" w:eastAsia="Arial" w:hAnsi="Arial"/>
          <w:b/>
          <w:bCs/>
          <w:caps/>
          <w:color w:val="1A3A5C"/>
          <w:sz w:val="24"/>
          <w:szCs w:val="24"/>
        </w:rPr>
        <w:t xml:space="preserve">3 · The Identity Vault Architecture (Hybrid Model)</w:t>
      </w:r>
    </w:p>
    <w:p>
      <w:pPr>
        <w:spacing w:after="50" w:before="50" w:line="318" w:lineRule="auto"/>
      </w:pPr>
      <w:r>
        <w:rPr>
          <w:rFonts w:ascii="Arial" w:cs="Arial" w:eastAsia="Arial" w:hAnsi="Arial"/>
          <w:b w:val="false"/>
          <w:bCs w:val="false"/>
          <w:i w:val="false"/>
          <w:iCs w:val="false"/>
          <w:color w:val="333333"/>
          <w:sz w:val="20"/>
          <w:szCs w:val="20"/>
        </w:rPr>
        <w:t xml:space="preserve">The identity vault is the on-premises component of the Vektor : Institutional hybrid deployment. It is a small, secure key-value store holding the UUID-to-PII attribute mapping. It is the only system that knows the real identity behind a UUID. The following applies only to the hybrid deployment. In the standard cloud model (Vektor : Boutique), there is no identity vault and InvestPuppy holds PII directly.</w:t>
      </w:r>
    </w:p>
    <w:p>
      <w:pPr>
        <w:spacing w:after="0" w:before="80"/>
      </w:pPr>
    </w:p>
    <w:p>
      <w:pPr>
        <w:pStyle w:val="Heading2"/>
        <w:spacing w:after="60" w:before="240"/>
      </w:pPr>
      <w:r>
        <w:rPr>
          <w:rFonts w:ascii="Arial" w:cs="Arial" w:eastAsia="Arial" w:hAnsi="Arial"/>
          <w:b/>
          <w:bCs/>
          <w:color w:val="1A1A1A"/>
          <w:sz w:val="21"/>
          <w:szCs w:val="21"/>
        </w:rPr>
        <w:t xml:space="preserve">3.1 Concept</w:t>
      </w:r>
    </w:p>
    <w:p>
      <w:pPr>
        <w:spacing w:after="50" w:before="50" w:line="318" w:lineRule="auto"/>
      </w:pPr>
      <w:r>
        <w:rPr>
          <w:rFonts w:ascii="Arial" w:cs="Arial" w:eastAsia="Arial" w:hAnsi="Arial"/>
          <w:b w:val="false"/>
          <w:bCs w:val="false"/>
          <w:i w:val="false"/>
          <w:iCs w:val="false"/>
          <w:color w:val="333333"/>
          <w:sz w:val="20"/>
          <w:szCs w:val="20"/>
        </w:rPr>
        <w:t xml:space="preserve">The vault holds one data type: UUID → {customer_name, address, DOB, national_ID, contact_details}. It does not hold portfolio positions, trading history, market data, or any operational data. The on-premises footprint is therefore minimal—a purpose-specific key-value store, not a replication of the full Vektor database.</w:t>
      </w:r>
    </w:p>
    <w:p>
      <w:pPr>
        <w:spacing w:after="0" w:before="80"/>
      </w:pPr>
    </w:p>
    <w:p>
      <w:pPr>
        <w:pStyle w:val="Heading2"/>
        <w:spacing w:after="60" w:before="240"/>
      </w:pPr>
      <w:r>
        <w:rPr>
          <w:rFonts w:ascii="Arial" w:cs="Arial" w:eastAsia="Arial" w:hAnsi="Arial"/>
          <w:b/>
          <w:bCs/>
          <w:color w:val="1A1A1A"/>
          <w:sz w:val="21"/>
          <w:szCs w:val="21"/>
        </w:rPr>
        <w:t xml:space="preserve">3.2 Data Flow</w:t>
      </w:r>
    </w:p>
    <w:p>
      <w:pPr>
        <w:pStyle w:val="ListParagraph"/>
        <w:numPr>
          <w:ilvl w:val="0"/>
          <w:numId w:val="3"/>
        </w:numPr>
        <w:spacing w:after="55" w:before="55" w:line="295" w:lineRule="auto"/>
      </w:pPr>
      <w:r>
        <w:rPr>
          <w:rFonts w:ascii="Arial" w:cs="Arial" w:eastAsia="Arial" w:hAnsi="Arial"/>
          <w:b/>
          <w:bCs/>
          <w:color w:val="1A1A1A"/>
          <w:sz w:val="20"/>
          <w:szCs w:val="20"/>
        </w:rPr>
        <w:t xml:space="preserve">Client onboarding:</w:t>
      </w:r>
      <w:r>
        <w:rPr>
          <w:rFonts w:ascii="Arial" w:cs="Arial" w:eastAsia="Arial" w:hAnsi="Arial"/>
          <w:b w:val="false"/>
          <w:bCs w:val="false"/>
          <w:color w:val="333333"/>
          <w:sz w:val="20"/>
          <w:szCs w:val="20"/>
        </w:rPr>
        <w:t xml:space="preserve"> UUID generated (see Section 7 for generation question). UUID sent to Vektor cloud. UUID-to-PII mapping stored only in on-premises vault.</w:t>
      </w:r>
    </w:p>
    <w:p>
      <w:pPr>
        <w:pStyle w:val="ListParagraph"/>
        <w:numPr>
          <w:ilvl w:val="0"/>
          <w:numId w:val="3"/>
        </w:numPr>
        <w:spacing w:after="55" w:before="55" w:line="295" w:lineRule="auto"/>
      </w:pPr>
      <w:r>
        <w:rPr>
          <w:rFonts w:ascii="Arial" w:cs="Arial" w:eastAsia="Arial" w:hAnsi="Arial"/>
          <w:b/>
          <w:bCs/>
          <w:color w:val="1A1A1A"/>
          <w:sz w:val="20"/>
          <w:szCs w:val="20"/>
        </w:rPr>
        <w:t xml:space="preserve">Platform operation:</w:t>
      </w:r>
      <w:r>
        <w:rPr>
          <w:rFonts w:ascii="Arial" w:cs="Arial" w:eastAsia="Arial" w:hAnsi="Arial"/>
          <w:b w:val="false"/>
          <w:bCs w:val="false"/>
          <w:color w:val="333333"/>
          <w:sz w:val="20"/>
          <w:szCs w:val="20"/>
        </w:rPr>
        <w:t xml:space="preserve"> Vektor cloud processes portfolio data using UUIDs only. Signal generation, optimisation, order creation, and ML validation operate on pseudonymised data. InvestPuppy’s cloud never requests real client identity.</w:t>
      </w:r>
    </w:p>
    <w:p>
      <w:pPr>
        <w:pStyle w:val="ListParagraph"/>
        <w:numPr>
          <w:ilvl w:val="0"/>
          <w:numId w:val="3"/>
        </w:numPr>
        <w:spacing w:after="55" w:before="55" w:line="295" w:lineRule="auto"/>
      </w:pPr>
      <w:r>
        <w:rPr>
          <w:rFonts w:ascii="Arial" w:cs="Arial" w:eastAsia="Arial" w:hAnsi="Arial"/>
          <w:b/>
          <w:bCs/>
          <w:color w:val="1A1A1A"/>
          <w:sz w:val="20"/>
          <w:szCs w:val="20"/>
        </w:rPr>
        <w:t xml:space="preserve">Human display:</w:t>
      </w:r>
      <w:r>
        <w:rPr>
          <w:rFonts w:ascii="Arial" w:cs="Arial" w:eastAsia="Arial" w:hAnsi="Arial"/>
          <w:b w:val="false"/>
          <w:bCs w:val="false"/>
          <w:color w:val="333333"/>
          <w:sz w:val="20"/>
          <w:szCs w:val="20"/>
        </w:rPr>
        <w:t xml:space="preserve"> Admin portal queries the identity vault to resolve UUIDs to real names for display. Resolution happens within the client’s infrastructure, not in InvestPuppy’s cloud.</w:t>
      </w:r>
    </w:p>
    <w:p>
      <w:pPr>
        <w:pStyle w:val="ListParagraph"/>
        <w:numPr>
          <w:ilvl w:val="0"/>
          <w:numId w:val="3"/>
        </w:numPr>
        <w:spacing w:after="55" w:before="55" w:line="295" w:lineRule="auto"/>
      </w:pPr>
      <w:r>
        <w:rPr>
          <w:rFonts w:ascii="Arial" w:cs="Arial" w:eastAsia="Arial" w:hAnsi="Arial"/>
          <w:b/>
          <w:bCs/>
          <w:color w:val="1A1A1A"/>
          <w:sz w:val="20"/>
          <w:szCs w:val="20"/>
        </w:rPr>
        <w:t xml:space="preserve">Reporting:</w:t>
      </w:r>
      <w:r>
        <w:rPr>
          <w:rFonts w:ascii="Arial" w:cs="Arial" w:eastAsia="Arial" w:hAnsi="Arial"/>
          <w:b w:val="false"/>
          <w:bCs w:val="false"/>
          <w:color w:val="333333"/>
          <w:sz w:val="20"/>
          <w:szCs w:val="20"/>
        </w:rPr>
        <w:t xml:space="preserve"> Client reports are generated by combining pseudonymised portfolio data from cloud with identity resolution from vault, assembled within the client’s infrastructure.</w:t>
      </w:r>
    </w:p>
    <w:p>
      <w:pPr>
        <w:pStyle w:val="ListParagraph"/>
        <w:numPr>
          <w:ilvl w:val="0"/>
          <w:numId w:val="3"/>
        </w:numPr>
        <w:spacing w:after="55" w:before="55" w:line="295" w:lineRule="auto"/>
      </w:pPr>
      <w:r>
        <w:rPr>
          <w:rFonts w:ascii="Arial" w:cs="Arial" w:eastAsia="Arial" w:hAnsi="Arial"/>
          <w:b/>
          <w:bCs/>
          <w:color w:val="1A1A1A"/>
          <w:sz w:val="20"/>
          <w:szCs w:val="20"/>
        </w:rPr>
        <w:t xml:space="preserve">Termination:</w:t>
      </w:r>
      <w:r>
        <w:rPr>
          <w:rFonts w:ascii="Arial" w:cs="Arial" w:eastAsia="Arial" w:hAnsi="Arial"/>
          <w:b w:val="false"/>
          <w:bCs w:val="false"/>
          <w:color w:val="333333"/>
          <w:sz w:val="20"/>
          <w:szCs w:val="20"/>
        </w:rPr>
        <w:t xml:space="preserve"> Vault entries are the client’s responsibility to delete in accordance with their data retention policies. InvestPuppy’s cloud data (pseudonymised) is deleted within 30 days of partnership termination. The DPA termination clause must address both.</w:t>
      </w:r>
    </w:p>
    <w:p>
      <w:pPr>
        <w:spacing w:after="0" w:before="80"/>
      </w:pPr>
    </w:p>
    <w:p>
      <w:pPr>
        <w:pStyle w:val="Heading2"/>
        <w:spacing w:after="60" w:before="240"/>
      </w:pPr>
      <w:r>
        <w:rPr>
          <w:rFonts w:ascii="Arial" w:cs="Arial" w:eastAsia="Arial" w:hAnsi="Arial"/>
          <w:b/>
          <w:bCs/>
          <w:color w:val="1A1A1A"/>
          <w:sz w:val="21"/>
          <w:szCs w:val="21"/>
        </w:rPr>
        <w:t xml:space="preserve">3.3 Minimum Vault Security Specification</w:t>
      </w:r>
    </w:p>
    <w:p>
      <w:pPr>
        <w:spacing w:after="50" w:before="50" w:line="318" w:lineRule="auto"/>
      </w:pPr>
      <w:r>
        <w:rPr>
          <w:rFonts w:ascii="Arial" w:cs="Arial" w:eastAsia="Arial" w:hAnsi="Arial"/>
          <w:b w:val="false"/>
          <w:bCs w:val="false"/>
          <w:i w:val="false"/>
          <w:iCs w:val="false"/>
          <w:color w:val="333333"/>
          <w:sz w:val="20"/>
          <w:szCs w:val="20"/>
        </w:rPr>
        <w:t xml:space="preserve">InvestPuppy should specify minimum security requirements for client identity vaults as a condition of hybrid deployment. These are not optional enhancements—they are prerequisites for the pseudonymisation claim to be credible.</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b/>
                <w:bCs/>
                <w:color w:val="1A1A1A"/>
                <w:sz w:val="18"/>
                <w:szCs w:val="18"/>
              </w:rPr>
              <w:t xml:space="preserve">Encryption at rest</w:t>
            </w:r>
          </w:p>
        </w:tc>
        <w:tc>
          <w:tcPr>
            <w:tcW w:type="dxa" w:w="62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color w:val="333333"/>
                <w:sz w:val="18"/>
                <w:szCs w:val="18"/>
              </w:rPr>
              <w:t xml:space="preserve">AES-256 minimum. All vault data encrypted at rest, including backups.</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b/>
                <w:bCs/>
                <w:color w:val="1A1A1A"/>
                <w:sz w:val="18"/>
                <w:szCs w:val="18"/>
              </w:rPr>
              <w:t xml:space="preserve">Encryption in transit</w:t>
            </w:r>
          </w:p>
        </w:tc>
        <w:tc>
          <w:tcPr>
            <w:tcW w:type="dxa" w:w="6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333333"/>
                <w:sz w:val="18"/>
                <w:szCs w:val="18"/>
              </w:rPr>
              <w:t xml:space="preserve">TLS 1.2 minimum for all API communications between vault and Vektor cloud.</w:t>
            </w:r>
          </w:p>
        </w:tc>
      </w:tr>
      <w:tr>
        <w:tc>
          <w:tcPr>
            <w:tcW w:type="dxa" w:w="26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b/>
                <w:bCs/>
                <w:color w:val="1A1A1A"/>
                <w:sz w:val="18"/>
                <w:szCs w:val="18"/>
              </w:rPr>
              <w:t xml:space="preserve">Access controls</w:t>
            </w:r>
          </w:p>
        </w:tc>
        <w:tc>
          <w:tcPr>
            <w:tcW w:type="dxa" w:w="62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color w:val="333333"/>
                <w:sz w:val="18"/>
                <w:szCs w:val="18"/>
              </w:rPr>
              <w:t xml:space="preserve">Role-based access. Only named, authorised personnel can query or modify vault entries. All access logged with timestamp, user, and action.</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b/>
                <w:bCs/>
                <w:color w:val="1A1A1A"/>
                <w:sz w:val="18"/>
                <w:szCs w:val="18"/>
              </w:rPr>
              <w:t xml:space="preserve">Network isolation</w:t>
            </w:r>
          </w:p>
        </w:tc>
        <w:tc>
          <w:tcPr>
            <w:tcW w:type="dxa" w:w="6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333333"/>
                <w:sz w:val="18"/>
                <w:szCs w:val="18"/>
              </w:rPr>
              <w:t xml:space="preserve">Vault must not be internet-accessible. All connections to Vektor cloud through authenticated, encrypted private channel (VPN or PrivateLink).</w:t>
            </w:r>
          </w:p>
        </w:tc>
      </w:tr>
      <w:tr>
        <w:tc>
          <w:tcPr>
            <w:tcW w:type="dxa" w:w="26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b/>
                <w:bCs/>
                <w:color w:val="1A1A1A"/>
                <w:sz w:val="18"/>
                <w:szCs w:val="18"/>
              </w:rPr>
              <w:t xml:space="preserve">Audit logging</w:t>
            </w:r>
          </w:p>
        </w:tc>
        <w:tc>
          <w:tcPr>
            <w:tcW w:type="dxa" w:w="62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color w:val="333333"/>
                <w:sz w:val="18"/>
                <w:szCs w:val="18"/>
              </w:rPr>
              <w:t xml:space="preserve">Every UUID-to-identity lookup logged with timestamp, requestor, and purpose. Logs retained for a minimum period consistent with financial regulatory requirements in the relevant jurisdiction: minimum 5 years (MAS Singapore), 6 years (FCA UK), 10 years (FINMA Switzerland) for financial records. Confirm the applicable period with counsel in each jurisdiction.</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b/>
                <w:bCs/>
                <w:color w:val="1A1A1A"/>
                <w:sz w:val="18"/>
                <w:szCs w:val="18"/>
              </w:rPr>
              <w:t xml:space="preserve">Backup and recovery</w:t>
            </w:r>
          </w:p>
        </w:tc>
        <w:tc>
          <w:tcPr>
            <w:tcW w:type="dxa" w:w="6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333333"/>
                <w:sz w:val="18"/>
                <w:szCs w:val="18"/>
              </w:rPr>
              <w:t xml:space="preserve">Daily encrypted backups. Recovery time objective and recovery point objective defined in the implementation statement of work.</w:t>
            </w:r>
          </w:p>
        </w:tc>
      </w:tr>
      <w:tr>
        <w:tc>
          <w:tcPr>
            <w:tcW w:type="dxa" w:w="26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b/>
                <w:bCs/>
                <w:color w:val="1A1A1A"/>
                <w:sz w:val="18"/>
                <w:szCs w:val="18"/>
              </w:rPr>
              <w:t xml:space="preserve">Penetration testing</w:t>
            </w:r>
          </w:p>
        </w:tc>
        <w:tc>
          <w:tcPr>
            <w:tcW w:type="dxa" w:w="62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color w:val="333333"/>
                <w:sz w:val="18"/>
                <w:szCs w:val="18"/>
              </w:rPr>
              <w:t xml:space="preserve">Client’s IT security team or InvestPuppy’s appointed auditor to test vault security annually.</w:t>
            </w:r>
          </w:p>
        </w:tc>
      </w:tr>
    </w:tbl>
    <w:p>
      <w:pPr>
        <w:spacing w:after="0" w:before="80"/>
      </w:pPr>
    </w:p>
    <w:p>
      <w:pPr>
        <w:pStyle w:val="Heading2"/>
        <w:spacing w:after="60" w:before="240"/>
      </w:pPr>
      <w:r>
        <w:rPr>
          <w:rFonts w:ascii="Arial" w:cs="Arial" w:eastAsia="Arial" w:hAnsi="Arial"/>
          <w:b/>
          <w:bCs/>
          <w:color w:val="1A1A1A"/>
          <w:sz w:val="21"/>
          <w:szCs w:val="21"/>
        </w:rPr>
        <w:t xml:space="preserve">3.4 The Claim It Enables</w:t>
      </w:r>
    </w:p>
    <w:p>
      <w:pPr>
        <w:pBdr>
          <w:left w:val="single" w:color="C8A96E" w:sz="12" w:space="6"/>
        </w:pBdr>
        <w:spacing w:after="40" w:before="40" w:line="300" w:lineRule="auto"/>
        <w:ind w:left="400"/>
      </w:pPr>
      <w:r>
        <w:rPr>
          <w:rFonts w:ascii="Arial" w:cs="Arial" w:eastAsia="Arial" w:hAnsi="Arial"/>
          <w:i/>
          <w:iCs/>
          <w:color w:val="666666"/>
          <w:sz w:val="18"/>
          <w:szCs w:val="18"/>
        </w:rPr>
        <w:t xml:space="preserve">“No InvestPuppy system ever processes your clients’ names, addresses, or identifying information. Your client identities never leave your infrastructure. What we process in the cloud is pseudonymised portfolio data and public market data. The link between our reference codes and your real clients exists only in a system you control.”</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This claim is structural, not policy-based. It cannot be violated by a configuration error or a security breach on InvestPuppy’s side because InvestPuppy’s cloud never held the identifying information. This structural separation also materially reduces InvestPuppy’s cyber liability exposure: a breach of InvestPuppy’s cloud infrastructure does not result in personal data exposure and therefore may not trigger regulatory breach notification obligations or associated fines.</w:t>
      </w:r>
    </w:p>
    <w:p>
      <w:pPr>
        <w:pStyle w:val="Heading1"/>
        <w:pBdr>
          <w:bottom w:val="single" w:color="1A3A5C" w:sz="3" w:space="4"/>
        </w:pBdr>
        <w:spacing w:after="80" w:before="360"/>
      </w:pPr>
      <w:r>
        <w:rPr>
          <w:rFonts w:ascii="Arial" w:cs="Arial" w:eastAsia="Arial" w:hAnsi="Arial"/>
          <w:b/>
          <w:bCs/>
          <w:caps/>
          <w:color w:val="1A3A5C"/>
          <w:sz w:val="24"/>
          <w:szCs w:val="24"/>
        </w:rPr>
        <w:t xml:space="preserve">4 · Compliance Posture by Channel</w:t>
      </w:r>
    </w:p>
    <w:p>
      <w:pPr>
        <w:spacing w:after="50" w:before="50" w:line="318" w:lineRule="auto"/>
      </w:pPr>
      <w:r>
        <w:rPr>
          <w:rFonts w:ascii="Arial" w:cs="Arial" w:eastAsia="Arial" w:hAnsi="Arial"/>
          <w:b w:val="false"/>
          <w:bCs w:val="false"/>
          <w:i w:val="false"/>
          <w:iCs w:val="false"/>
          <w:color w:val="333333"/>
          <w:sz w:val="20"/>
          <w:szCs w:val="20"/>
        </w:rPr>
        <w:t xml:space="preserve">The following table summarises the privacy compliance posture for each Vektor channel. Both channels are subject to privacy law. The architecture and the level of obligation differ.</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6"/>
                <w:szCs w:val="16"/>
              </w:rPr>
              <w:t xml:space="preserve">Dimension</w:t>
            </w:r>
          </w:p>
        </w:tc>
        <w:tc>
          <w:tcPr>
            <w:tcW w:type="dxa" w:w="33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6"/>
                <w:szCs w:val="16"/>
              </w:rPr>
              <w:t xml:space="preserve">Vektor : Boutique (Standard Cloud)</w:t>
            </w:r>
          </w:p>
        </w:tc>
        <w:tc>
          <w:tcPr>
            <w:tcW w:type="dxa" w:w="33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r>
              <w:rPr>
                <w:rFonts w:ascii="Arial" w:cs="Arial" w:eastAsia="Arial" w:hAnsi="Arial"/>
                <w:b/>
                <w:bCs/>
                <w:color w:val="FFFFFF"/>
                <w:sz w:val="16"/>
                <w:szCs w:val="16"/>
              </w:rPr>
              <w:t xml:space="preserve">Vektor : Institutional (Hybrid)</w:t>
            </w:r>
          </w:p>
        </w:tc>
      </w:tr>
      <w:tr>
        <w:tc>
          <w:tcPr>
            <w:tcW w:type="dxa" w:w="22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bCs/>
                <w:color w:val="1A1A1A"/>
                <w:sz w:val="16"/>
                <w:szCs w:val="16"/>
              </w:rPr>
              <w:t xml:space="preserve">InvestPuppy role</w:t>
            </w:r>
          </w:p>
        </w:tc>
        <w:tc>
          <w:tcPr>
            <w:tcW w:type="dxa" w:w="33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val="false"/>
                <w:bCs w:val="false"/>
                <w:color w:val="333333"/>
                <w:sz w:val="16"/>
                <w:szCs w:val="16"/>
              </w:rPr>
              <w:t xml:space="preserve">Data processor of PII</w:t>
            </w:r>
          </w:p>
        </w:tc>
        <w:tc>
          <w:tcPr>
            <w:tcW w:type="dxa" w:w="33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val="false"/>
                <w:bCs w:val="false"/>
                <w:color w:val="333333"/>
                <w:sz w:val="16"/>
                <w:szCs w:val="16"/>
              </w:rPr>
              <w:t xml:space="preserve">Processor of pseudonymised data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6"/>
                <w:szCs w:val="16"/>
              </w:rPr>
              <w:t xml:space="preserve">Personal data held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333333"/>
                <w:sz w:val="16"/>
                <w:szCs w:val="16"/>
              </w:rPr>
              <w:t xml:space="preserve">Yes — customer_name and other PII in cloud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333333"/>
                <w:sz w:val="16"/>
                <w:szCs w:val="16"/>
              </w:rPr>
              <w:t xml:space="preserve">No — PII in client identity vault only</w:t>
            </w:r>
          </w:p>
        </w:tc>
      </w:tr>
      <w:tr>
        <w:tc>
          <w:tcPr>
            <w:tcW w:type="dxa" w:w="22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bCs/>
                <w:color w:val="1A1A1A"/>
                <w:sz w:val="16"/>
                <w:szCs w:val="16"/>
              </w:rPr>
              <w:t xml:space="preserve">DPA required</w:t>
            </w:r>
          </w:p>
        </w:tc>
        <w:tc>
          <w:tcPr>
            <w:tcW w:type="dxa" w:w="33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val="false"/>
                <w:bCs w:val="false"/>
                <w:color w:val="333333"/>
                <w:sz w:val="16"/>
                <w:szCs w:val="16"/>
              </w:rPr>
              <w:t xml:space="preserve">Yes — required with every client</w:t>
            </w:r>
          </w:p>
        </w:tc>
        <w:tc>
          <w:tcPr>
            <w:tcW w:type="dxa" w:w="33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val="false"/>
                <w:bCs w:val="false"/>
                <w:color w:val="333333"/>
                <w:sz w:val="16"/>
                <w:szCs w:val="16"/>
              </w:rPr>
              <w:t xml:space="preserve">Reduced or not required for personal data; confirm with counsel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6"/>
                <w:szCs w:val="16"/>
              </w:rPr>
              <w:t xml:space="preserve">Breach notification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333333"/>
                <w:sz w:val="16"/>
                <w:szCs w:val="16"/>
              </w:rPr>
              <w:t xml:space="preserve">InvestPuppy must notify if cloud breached and PII involved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333333"/>
                <w:sz w:val="16"/>
                <w:szCs w:val="16"/>
              </w:rPr>
              <w:t xml:space="preserve">Breach of InvestPuppy cloud does not involve PII — obligation reduced or eliminated</w:t>
            </w:r>
          </w:p>
        </w:tc>
      </w:tr>
      <w:tr>
        <w:tc>
          <w:tcPr>
            <w:tcW w:type="dxa" w:w="22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bCs/>
                <w:color w:val="1A1A1A"/>
                <w:sz w:val="16"/>
                <w:szCs w:val="16"/>
              </w:rPr>
              <w:t xml:space="preserve">Data subject rights</w:t>
            </w:r>
          </w:p>
        </w:tc>
        <w:tc>
          <w:tcPr>
            <w:tcW w:type="dxa" w:w="33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val="false"/>
                <w:bCs w:val="false"/>
                <w:color w:val="333333"/>
                <w:sz w:val="16"/>
                <w:szCs w:val="16"/>
              </w:rPr>
              <w:t xml:space="preserve">InvestPuppy assists controller in responding</w:t>
            </w:r>
          </w:p>
        </w:tc>
        <w:tc>
          <w:tcPr>
            <w:tcW w:type="dxa" w:w="33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val="false"/>
                <w:bCs w:val="false"/>
                <w:color w:val="333333"/>
                <w:sz w:val="16"/>
                <w:szCs w:val="16"/>
              </w:rPr>
              <w:t xml:space="preserve">Controller responds from vault; InvestPuppy holds no personal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6"/>
                <w:szCs w:val="16"/>
              </w:rPr>
              <w:t xml:space="preserve">Data retention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333333"/>
                <w:sz w:val="16"/>
                <w:szCs w:val="16"/>
              </w:rPr>
              <w:t xml:space="preserve">InvestPuppy must apply retention limits to PII held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333333"/>
                <w:sz w:val="16"/>
                <w:szCs w:val="16"/>
              </w:rPr>
              <w:t xml:space="preserve">No PII to retain; vault retention is client responsibility</w:t>
            </w:r>
          </w:p>
        </w:tc>
      </w:tr>
      <w:tr>
        <w:tc>
          <w:tcPr>
            <w:tcW w:type="dxa" w:w="22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bCs/>
                <w:color w:val="1A1A1A"/>
                <w:sz w:val="16"/>
                <w:szCs w:val="16"/>
              </w:rPr>
              <w:t xml:space="preserve">Cyber liability</w:t>
            </w:r>
          </w:p>
        </w:tc>
        <w:tc>
          <w:tcPr>
            <w:tcW w:type="dxa" w:w="33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val="false"/>
                <w:bCs w:val="false"/>
                <w:color w:val="333333"/>
                <w:sz w:val="16"/>
                <w:szCs w:val="16"/>
              </w:rPr>
              <w:t xml:space="preserve">Breach involves PII — potential regulatory fine</w:t>
            </w:r>
          </w:p>
        </w:tc>
        <w:tc>
          <w:tcPr>
            <w:tcW w:type="dxa" w:w="33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val="false"/>
                <w:bCs w:val="false"/>
                <w:color w:val="333333"/>
                <w:sz w:val="16"/>
                <w:szCs w:val="16"/>
              </w:rPr>
              <w:t xml:space="preserve">Breach does not involve PII — materially reduced exposure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6"/>
                <w:szCs w:val="16"/>
              </w:rPr>
              <w:t xml:space="preserve">Regional deployment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333333"/>
                <w:sz w:val="16"/>
                <w:szCs w:val="16"/>
              </w:rPr>
              <w:t xml:space="preserve">AWS region matched to client jurisdiction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333333"/>
                <w:sz w:val="16"/>
                <w:szCs w:val="16"/>
              </w:rPr>
              <w:t xml:space="preserve">Same, plus identity vault on client infrastructure</w:t>
            </w:r>
          </w:p>
        </w:tc>
      </w:tr>
      <w:tr>
        <w:tc>
          <w:tcPr>
            <w:tcW w:type="dxa" w:w="22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bCs/>
                <w:color w:val="1A1A1A"/>
                <w:sz w:val="16"/>
                <w:szCs w:val="16"/>
              </w:rPr>
              <w:t xml:space="preserve">Commercial model</w:t>
            </w:r>
          </w:p>
        </w:tc>
        <w:tc>
          <w:tcPr>
            <w:tcW w:type="dxa" w:w="33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val="false"/>
                <w:bCs w:val="false"/>
                <w:color w:val="333333"/>
                <w:sz w:val="16"/>
                <w:szCs w:val="16"/>
              </w:rPr>
              <w:t xml:space="preserve">Standard subscription</w:t>
            </w:r>
          </w:p>
        </w:tc>
        <w:tc>
          <w:tcPr>
            <w:tcW w:type="dxa" w:w="3300"/>
            <w:tcBorders>
              <w:top w:val="single" w:color="CCCCCC" w:sz="1"/>
              <w:left w:val="single" w:color="CCCCCC" w:sz="1"/>
              <w:bottom w:val="single" w:color="CCCCCC" w:sz="1"/>
              <w:right w:val="single" w:color="CCCCCC" w:sz="1"/>
            </w:tcBorders>
            <w:shd w:fill="FDF9F2" w:val="clear"/>
            <w:tcMar>
              <w:top w:type="dxa" w:w="60"/>
              <w:left w:type="dxa" w:w="110"/>
              <w:bottom w:type="dxa" w:w="60"/>
              <w:right w:type="dxa" w:w="110"/>
            </w:tcMar>
          </w:tcPr>
          <w:p>
            <w:r>
              <w:rPr>
                <w:rFonts w:ascii="Arial" w:cs="Arial" w:eastAsia="Arial" w:hAnsi="Arial"/>
                <w:b w:val="false"/>
                <w:bCs w:val="false"/>
                <w:color w:val="333333"/>
                <w:sz w:val="16"/>
                <w:szCs w:val="16"/>
              </w:rPr>
              <w:t xml:space="preserve">Premium tier — higher implementation and platform fee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bCs/>
                <w:color w:val="1A1A1A"/>
                <w:sz w:val="16"/>
                <w:szCs w:val="16"/>
              </w:rPr>
              <w:t xml:space="preserve">Procurement pathway</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333333"/>
                <w:sz w:val="16"/>
                <w:szCs w:val="16"/>
              </w:rPr>
              <w:t xml:space="preserve">Full TRM / DPO vendor assessment as personal data processor. Typical elapsed time: 4–6 months.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color w:val="333333"/>
                <w:sz w:val="16"/>
                <w:szCs w:val="16"/>
              </w:rPr>
              <w:t xml:space="preserve">Simplified assessment as non-PII computation service provider. Typical elapsed time: 4–6 weeks.</w:t>
            </w:r>
          </w:p>
        </w:tc>
      </w:tr>
    </w:tbl>
    <w:p>
      <w:pPr>
        <w:spacing w:after="0" w:before="100"/>
      </w:pPr>
    </w:p>
    <w:p>
      <w:pPr>
        <w:pStyle w:val="Heading2"/>
        <w:spacing w:after="60" w:before="240"/>
      </w:pPr>
      <w:r>
        <w:rPr>
          <w:rFonts w:ascii="Arial" w:cs="Arial" w:eastAsia="Arial" w:hAnsi="Arial"/>
          <w:b/>
          <w:bCs/>
          <w:color w:val="1A1A1A"/>
          <w:sz w:val="21"/>
          <w:szCs w:val="21"/>
        </w:rPr>
        <w:t xml:space="preserve">4.1 Vektor : Boutique — Standard Cloud Compliance Requirements</w:t>
      </w:r>
    </w:p>
    <w:p>
      <w:pPr>
        <w:spacing w:after="50" w:before="50" w:line="318" w:lineRule="auto"/>
      </w:pPr>
      <w:r>
        <w:rPr>
          <w:rFonts w:ascii="Arial" w:cs="Arial" w:eastAsia="Arial" w:hAnsi="Arial"/>
          <w:b w:val="false"/>
          <w:bCs w:val="false"/>
          <w:i w:val="false"/>
          <w:iCs w:val="false"/>
          <w:color w:val="333333"/>
          <w:sz w:val="20"/>
          <w:szCs w:val="20"/>
        </w:rPr>
        <w:t xml:space="preserve">In the standard cloud model, InvestPuppy holds PII for boutique clients. InvestPuppy is a data processor. The following are compliance requirements—not options—before the Vektor : Boutique channel distributes in any jurisdiction.</w:t>
      </w:r>
    </w:p>
    <w:p>
      <w:pPr>
        <w:spacing w:after="0" w:before="60"/>
      </w:pP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Data Processing Agreement (DPA).</w:t>
      </w:r>
      <w:r>
        <w:rPr>
          <w:rFonts w:ascii="Arial" w:cs="Arial" w:eastAsia="Arial" w:hAnsi="Arial"/>
          <w:b w:val="false"/>
          <w:bCs w:val="false"/>
          <w:i w:val="false"/>
          <w:iCs w:val="false"/>
          <w:color w:val="333333"/>
          <w:sz w:val="20"/>
          <w:szCs w:val="20"/>
        </w:rPr>
        <w:t xml:space="preserve"> Required with every boutique subscriber. InvestPuppy as processor, client as controller. Must cover: processing purposes, data categories, security measures, sub-processors, data subject rights, breach notification, and termination. Standard template reviewed by counsel in each jurisdiction.</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Sub-processor disclosure.</w:t>
      </w:r>
      <w:r>
        <w:rPr>
          <w:rFonts w:ascii="Arial" w:cs="Arial" w:eastAsia="Arial" w:hAnsi="Arial"/>
          <w:b w:val="false"/>
          <w:bCs w:val="false"/>
          <w:i w:val="false"/>
          <w:iCs w:val="false"/>
          <w:color w:val="333333"/>
          <w:sz w:val="20"/>
          <w:szCs w:val="20"/>
        </w:rPr>
        <w:t xml:space="preserve"> InvestPuppy uses AWS (cloud infrastructure) and AWS SageMaker (ML inference) as sub-processors. The DPA must name these and the client must consent to their use.</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Regional cloud deployment.</w:t>
      </w:r>
      <w:r>
        <w:rPr>
          <w:rFonts w:ascii="Arial" w:cs="Arial" w:eastAsia="Arial" w:hAnsi="Arial"/>
          <w:b w:val="false"/>
          <w:bCs w:val="false"/>
          <w:i w:val="false"/>
          <w:iCs w:val="false"/>
          <w:color w:val="333333"/>
          <w:sz w:val="20"/>
          <w:szCs w:val="20"/>
        </w:rPr>
        <w:t xml:space="preserve"> PII for Singapore clients in AWS ap-southeast-1. PII for Swiss clients in AWS eu-central-2 (Zurich). PII for UK clients in AWS eu-west-2 (London). See Section 5 for jurisdiction-specific requirements.</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Data breach notification.</w:t>
      </w:r>
      <w:r>
        <w:rPr>
          <w:rFonts w:ascii="Arial" w:cs="Arial" w:eastAsia="Arial" w:hAnsi="Arial"/>
          <w:b w:val="false"/>
          <w:bCs w:val="false"/>
          <w:i w:val="false"/>
          <w:iCs w:val="false"/>
          <w:color w:val="333333"/>
          <w:sz w:val="20"/>
          <w:szCs w:val="20"/>
        </w:rPr>
        <w:t xml:space="preserve"> InvestPuppy is directly responsible for notifying the relevant supervisory authority and affected clients if its cloud is breached and PII is involved. Timelines: 72 hours (UK GDPR, nDSG), 3 days (PDPA Singapore). Incident response procedure must name this obligation.</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Data subject rights.</w:t>
      </w:r>
      <w:r>
        <w:rPr>
          <w:rFonts w:ascii="Arial" w:cs="Arial" w:eastAsia="Arial" w:hAnsi="Arial"/>
          <w:b w:val="false"/>
          <w:bCs w:val="false"/>
          <w:i w:val="false"/>
          <w:iCs w:val="false"/>
          <w:color w:val="333333"/>
          <w:sz w:val="20"/>
          <w:szCs w:val="20"/>
        </w:rPr>
        <w:t xml:space="preserve"> InvestPuppy must, within prescribed timeframes, assist the data controller in responding to subject access requests, correction requests, and deletion requests for PII it holds. The DPA must specify the procedure and timeline.</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Data retention.</w:t>
      </w:r>
      <w:r>
        <w:rPr>
          <w:rFonts w:ascii="Arial" w:cs="Arial" w:eastAsia="Arial" w:hAnsi="Arial"/>
          <w:b w:val="false"/>
          <w:bCs w:val="false"/>
          <w:i w:val="false"/>
          <w:iCs w:val="false"/>
          <w:color w:val="333333"/>
          <w:sz w:val="20"/>
          <w:szCs w:val="20"/>
        </w:rPr>
        <w:t xml:space="preserve"> PII may not be retained beyond the period necessary for the stated processing purpose. Subscription termination triggers a data deletion obligation. The DPA must specify the retention period and the deletion process.</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Data Protection Officer.</w:t>
      </w:r>
      <w:r>
        <w:rPr>
          <w:rFonts w:ascii="Arial" w:cs="Arial" w:eastAsia="Arial" w:hAnsi="Arial"/>
          <w:b w:val="false"/>
          <w:bCs w:val="false"/>
          <w:i w:val="false"/>
          <w:iCs w:val="false"/>
          <w:color w:val="333333"/>
          <w:sz w:val="20"/>
          <w:szCs w:val="20"/>
        </w:rPr>
        <w:t xml:space="preserve"> GDPR, nDSG, and several other frameworks require or recommend a DPO. InvestPuppy must evaluate this requirement as client numbers grow. Not required at launch for a small processor but should be in the compliance roadmap.</w:t>
      </w:r>
    </w:p>
    <w:p>
      <w:pPr>
        <w:spacing w:after="0" w:before="80"/>
      </w:pPr>
    </w:p>
    <w:p>
      <w:pPr>
        <w:pBdr>
          <w:left w:val="single" w:color="C8A96E" w:sz="12" w:space="6"/>
        </w:pBdr>
        <w:spacing w:after="40" w:before="40" w:line="300" w:lineRule="auto"/>
        <w:ind w:left="400"/>
      </w:pPr>
      <w:r>
        <w:rPr>
          <w:rFonts w:ascii="Arial" w:cs="Arial" w:eastAsia="Arial" w:hAnsi="Arial"/>
          <w:i/>
          <w:iCs/>
          <w:color w:val="666666"/>
          <w:sz w:val="18"/>
          <w:szCs w:val="18"/>
        </w:rPr>
        <w:t xml:space="preserve">Action: The DPA template for Vektor : Boutique is a missing document. It must be produced, reviewed by counsel in Singapore and Switzerland as first-priority jurisdictions, and signed by every client before they subscribe. This is a pre-distribution requirement for both jurisdictions.</w:t>
      </w:r>
    </w:p>
    <w:p>
      <w:pPr>
        <w:spacing w:after="0" w:before="80"/>
      </w:pPr>
    </w:p>
    <w:p>
      <w:pPr>
        <w:pStyle w:val="Heading2"/>
        <w:spacing w:after="60" w:before="240"/>
      </w:pPr>
      <w:r>
        <w:rPr>
          <w:rFonts w:ascii="Arial" w:cs="Arial" w:eastAsia="Arial" w:hAnsi="Arial"/>
          <w:b/>
          <w:bCs/>
          <w:color w:val="1A1A1A"/>
          <w:sz w:val="21"/>
          <w:szCs w:val="21"/>
        </w:rPr>
        <w:t xml:space="preserve">4.2 Data Subject Rights — Both Channels</w:t>
      </w:r>
    </w:p>
    <w:p>
      <w:pPr>
        <w:spacing w:after="50" w:before="50" w:line="318" w:lineRule="auto"/>
      </w:pPr>
      <w:r>
        <w:rPr>
          <w:rFonts w:ascii="Arial" w:cs="Arial" w:eastAsia="Arial" w:hAnsi="Arial"/>
          <w:b w:val="false"/>
          <w:bCs w:val="false"/>
          <w:i w:val="false"/>
          <w:iCs w:val="false"/>
          <w:color w:val="333333"/>
          <w:sz w:val="20"/>
          <w:szCs w:val="20"/>
        </w:rPr>
        <w:t xml:space="preserve">All applicable frameworks provide data subjects with rights over their personal data. The mechanism for exercising these rights differs between channels.</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b/>
                <w:bCs/>
                <w:color w:val="1A1A1A"/>
                <w:sz w:val="18"/>
                <w:szCs w:val="18"/>
              </w:rPr>
              <w:t xml:space="preserve">Right to access</w:t>
            </w:r>
          </w:p>
        </w:tc>
        <w:tc>
          <w:tcPr>
            <w:tcW w:type="dxa" w:w="62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color w:val="333333"/>
                <w:sz w:val="18"/>
                <w:szCs w:val="18"/>
              </w:rPr>
              <w:t xml:space="preserve">Boutique: InvestPuppy responds with PII it holds in cloud. Institutional: institution responds from vault; InvestPuppy provides pseudonymised portfolio data it holds, noting it cannot identify the subject without the vault.</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b/>
                <w:bCs/>
                <w:color w:val="1A1A1A"/>
                <w:sz w:val="18"/>
                <w:szCs w:val="18"/>
              </w:rPr>
              <w:t xml:space="preserve">Right to rectification</w:t>
            </w:r>
          </w:p>
        </w:tc>
        <w:tc>
          <w:tcPr>
            <w:tcW w:type="dxa" w:w="6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333333"/>
                <w:sz w:val="18"/>
                <w:szCs w:val="18"/>
              </w:rPr>
              <w:t xml:space="preserve">Boutique: InvestPuppy corrects PII in cloud on instruction from controller. Institutional: institution corrects vault entry; InvestPuppy updates pseudonymised records on instruction.</w:t>
            </w:r>
          </w:p>
        </w:tc>
      </w:tr>
      <w:tr>
        <w:tc>
          <w:tcPr>
            <w:tcW w:type="dxa" w:w="26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b/>
                <w:bCs/>
                <w:color w:val="1A1A1A"/>
                <w:sz w:val="18"/>
                <w:szCs w:val="18"/>
              </w:rPr>
              <w:t xml:space="preserve">Right to erasure</w:t>
            </w:r>
          </w:p>
        </w:tc>
        <w:tc>
          <w:tcPr>
            <w:tcW w:type="dxa" w:w="62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color w:val="333333"/>
                <w:sz w:val="18"/>
                <w:szCs w:val="18"/>
              </w:rPr>
              <w:t xml:space="preserve">Boutique: InvestPuppy deletes PII from cloud on valid request via controller. Institutional: institution deletes vault entry; InvestPuppy deletes pseudonymised records (which are no longer linked to any identity after vault deletion).</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b/>
                <w:bCs/>
                <w:color w:val="1A1A1A"/>
                <w:sz w:val="18"/>
                <w:szCs w:val="18"/>
              </w:rPr>
              <w:t xml:space="preserve">Right to portability</w:t>
            </w:r>
          </w:p>
        </w:tc>
        <w:tc>
          <w:tcPr>
            <w:tcW w:type="dxa" w:w="6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333333"/>
                <w:sz w:val="18"/>
                <w:szCs w:val="18"/>
              </w:rPr>
              <w:t xml:space="preserve">Boutique: InvestPuppy provides PII and portfolio data in structured format. Institutional: institution provides PII from vault; InvestPuppy provides pseudonymised portfolio data.</w:t>
            </w:r>
          </w:p>
        </w:tc>
      </w:tr>
      <w:tr>
        <w:tc>
          <w:tcPr>
            <w:tcW w:type="dxa" w:w="26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b/>
                <w:bCs/>
                <w:color w:val="1A1A1A"/>
                <w:sz w:val="18"/>
                <w:szCs w:val="18"/>
              </w:rPr>
              <w:t xml:space="preserve">Response timeline</w:t>
            </w:r>
          </w:p>
        </w:tc>
        <w:tc>
          <w:tcPr>
            <w:tcW w:type="dxa" w:w="62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color w:val="333333"/>
                <w:sz w:val="18"/>
                <w:szCs w:val="18"/>
              </w:rPr>
              <w:t xml:space="preserve">All frameworks: typically 30 days from request. The DPA must specify how InvestPuppy’s response timeline aligns with the controller’s obligations.</w:t>
            </w:r>
          </w:p>
        </w:tc>
      </w:tr>
    </w:tbl>
    <w:p>
      <w:pPr>
        <w:spacing w:after="0" w:before="80"/>
      </w:pPr>
    </w:p>
    <w:p>
      <w:pPr>
        <w:pStyle w:val="Heading2"/>
        <w:spacing w:after="60" w:before="240"/>
      </w:pPr>
      <w:r>
        <w:rPr>
          <w:rFonts w:ascii="Arial" w:cs="Arial" w:eastAsia="Arial" w:hAnsi="Arial"/>
          <w:b/>
          <w:bCs/>
          <w:color w:val="1A1A1A"/>
          <w:sz w:val="21"/>
          <w:szCs w:val="21"/>
        </w:rPr>
        <w:t xml:space="preserve">4.3 Data Breach Notification — Comparison</w:t>
      </w:r>
    </w:p>
    <w:p>
      <w:pPr>
        <w:spacing w:after="50" w:before="50" w:line="318" w:lineRule="auto"/>
      </w:pPr>
      <w:r>
        <w:rPr>
          <w:rFonts w:ascii="Arial" w:cs="Arial" w:eastAsia="Arial" w:hAnsi="Arial"/>
          <w:b w:val="false"/>
          <w:bCs w:val="false"/>
          <w:i w:val="false"/>
          <w:iCs w:val="false"/>
          <w:color w:val="333333"/>
          <w:sz w:val="20"/>
          <w:szCs w:val="20"/>
        </w:rPr>
        <w:t xml:space="preserve">The pseudonymised model provides a material advantage in breach scenarios: a breach of InvestPuppy’s cloud infrastructure in the hybrid model does not involve personal data and therefore may not trigger notification obligations.</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b/>
                <w:bCs/>
                <w:color w:val="1A1A1A"/>
                <w:sz w:val="18"/>
                <w:szCs w:val="18"/>
              </w:rPr>
              <w:t xml:space="preserve">Scenario: cloud breach, Boutique</w:t>
            </w:r>
          </w:p>
        </w:tc>
        <w:tc>
          <w:tcPr>
            <w:tcW w:type="dxa" w:w="62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color w:val="333333"/>
                <w:sz w:val="18"/>
                <w:szCs w:val="18"/>
              </w:rPr>
              <w:t xml:space="preserve">InvestPuppy’s cloud holds PII. Breach constitutes a personal data breach. Notification required to supervisory authority (72 hours under UK GDPR and nDSG; 3 days under PDPA) and potentially to affected individuals. Potential regulatory fine.</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b/>
                <w:bCs/>
                <w:color w:val="1A1A1A"/>
                <w:sz w:val="18"/>
                <w:szCs w:val="18"/>
              </w:rPr>
              <w:t xml:space="preserve">Scenario: cloud breach, Institutional hybrid</w:t>
            </w:r>
          </w:p>
        </w:tc>
        <w:tc>
          <w:tcPr>
            <w:tcW w:type="dxa" w:w="6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333333"/>
                <w:sz w:val="18"/>
                <w:szCs w:val="18"/>
              </w:rPr>
              <w:t xml:space="preserve">InvestPuppy’s cloud holds pseudonymised data only. Breach does not constitute a personal data breach from InvestPuppy’s perspective. Notification obligation may not apply. Regulatory fine exposure materially reduced.</w:t>
            </w:r>
          </w:p>
        </w:tc>
      </w:tr>
      <w:tr>
        <w:tc>
          <w:tcPr>
            <w:tcW w:type="dxa" w:w="26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b/>
                <w:bCs/>
                <w:color w:val="1A1A1A"/>
                <w:sz w:val="18"/>
                <w:szCs w:val="18"/>
              </w:rPr>
              <w:t xml:space="preserve">Scenario: identity vault breach</w:t>
            </w:r>
          </w:p>
        </w:tc>
        <w:tc>
          <w:tcPr>
            <w:tcW w:type="dxa" w:w="6200"/>
            <w:tcBorders>
              <w:top w:val="single" w:color="CCCCCC" w:sz="1"/>
              <w:left w:val="single" w:color="CCCCCC" w:sz="1"/>
              <w:bottom w:val="single" w:color="CCCCCC" w:sz="1"/>
              <w:right w:val="single" w:color="CCCCCC" w:sz="1"/>
            </w:tcBorders>
            <w:shd w:fill="FDF9F2" w:val="clear"/>
            <w:tcMar>
              <w:top w:type="dxa" w:w="65"/>
              <w:left w:type="dxa" w:w="110"/>
              <w:bottom w:type="dxa" w:w="65"/>
              <w:right w:type="dxa" w:w="110"/>
            </w:tcMar>
          </w:tcPr>
          <w:p>
            <w:r>
              <w:rPr>
                <w:rFonts w:ascii="Arial" w:cs="Arial" w:eastAsia="Arial" w:hAnsi="Arial"/>
                <w:color w:val="333333"/>
                <w:sz w:val="18"/>
                <w:szCs w:val="18"/>
              </w:rPr>
              <w:t xml:space="preserve">If the client’s on-premises vault is breached, the client is the data controller and notification is their obligation. InvestPuppy’s cloud data is unaffected and not linked to any real identity without the vault.</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b/>
                <w:bCs/>
                <w:color w:val="1A1A1A"/>
                <w:sz w:val="18"/>
                <w:szCs w:val="18"/>
              </w:rPr>
              <w:t xml:space="preserve">Jurisdiction timelines</w:t>
            </w:r>
          </w:p>
        </w:tc>
        <w:tc>
          <w:tcPr>
            <w:tcW w:type="dxa" w:w="6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Arial" w:cs="Arial" w:eastAsia="Arial" w:hAnsi="Arial"/>
                <w:color w:val="333333"/>
                <w:sz w:val="18"/>
                <w:szCs w:val="18"/>
              </w:rPr>
              <w:t xml:space="preserve">Singapore PDPA: 3 calendar days. UK GDPR: 72 hours to ICO. nDSG Switzerland: 72 hours to FDPIC. DIFC DPL: 72 hours to DIFC Commissioner. All timelines are from discovery of the breach.</w:t>
            </w:r>
          </w:p>
        </w:tc>
      </w:tr>
    </w:tbl>
    <w:p>
      <w:pPr>
        <w:pStyle w:val="Heading1"/>
        <w:pBdr>
          <w:bottom w:val="single" w:color="1A3A5C" w:sz="3" w:space="4"/>
        </w:pBdr>
        <w:spacing w:after="80" w:before="360"/>
      </w:pPr>
      <w:r>
        <w:rPr>
          <w:rFonts w:ascii="Arial" w:cs="Arial" w:eastAsia="Arial" w:hAnsi="Arial"/>
          <w:b/>
          <w:bCs/>
          <w:caps/>
          <w:color w:val="1A3A5C"/>
          <w:sz w:val="24"/>
          <w:szCs w:val="24"/>
        </w:rPr>
        <w:t xml:space="preserve">5 · Jurisdiction-by-Jurisdiction Analysis</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800"/>
        <w:gridCol w:w="1900"/>
        <w:gridCol w:w="1900"/>
      </w:tblGrid>
      <w:tr>
        <w:trPr>
          <w:tblHeader/>
        </w:trPr>
        <w:tc>
          <w:tcPr>
            <w:tcW w:type="dxa" w:w="1300"/>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r>
              <w:rPr>
                <w:rFonts w:ascii="Arial" w:cs="Arial" w:eastAsia="Arial" w:hAnsi="Arial"/>
                <w:b/>
                <w:bCs/>
                <w:color w:val="FFFFFF"/>
                <w:sz w:val="15"/>
                <w:szCs w:val="15"/>
              </w:rPr>
              <w:t xml:space="preserve">Jurisdiction</w:t>
            </w:r>
          </w:p>
        </w:tc>
        <w:tc>
          <w:tcPr>
            <w:tcW w:type="dxa" w:w="1900"/>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r>
              <w:rPr>
                <w:rFonts w:ascii="Arial" w:cs="Arial" w:eastAsia="Arial" w:hAnsi="Arial"/>
                <w:b/>
                <w:bCs/>
                <w:color w:val="FFFFFF"/>
                <w:sz w:val="15"/>
                <w:szCs w:val="15"/>
              </w:rPr>
              <w:t xml:space="preserve">Primary Law</w:t>
            </w:r>
          </w:p>
        </w:tc>
        <w:tc>
          <w:tcPr>
            <w:tcW w:type="dxa" w:w="1800"/>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r>
              <w:rPr>
                <w:rFonts w:ascii="Arial" w:cs="Arial" w:eastAsia="Arial" w:hAnsi="Arial"/>
                <w:b/>
                <w:bCs/>
                <w:color w:val="FFFFFF"/>
                <w:sz w:val="15"/>
                <w:szCs w:val="15"/>
              </w:rPr>
              <w:t xml:space="preserve">Personal Data</w:t>
            </w:r>
          </w:p>
        </w:tc>
        <w:tc>
          <w:tcPr>
            <w:tcW w:type="dxa" w:w="1900"/>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r>
              <w:rPr>
                <w:rFonts w:ascii="Arial" w:cs="Arial" w:eastAsia="Arial" w:hAnsi="Arial"/>
                <w:b/>
                <w:bCs/>
                <w:color w:val="FFFFFF"/>
                <w:sz w:val="15"/>
                <w:szCs w:val="15"/>
              </w:rPr>
              <w:t xml:space="preserve">Transfer Rules</w:t>
            </w:r>
          </w:p>
        </w:tc>
        <w:tc>
          <w:tcPr>
            <w:tcW w:type="dxa" w:w="1900"/>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r>
              <w:rPr>
                <w:rFonts w:ascii="Arial" w:cs="Arial" w:eastAsia="Arial" w:hAnsi="Arial"/>
                <w:b/>
                <w:bCs/>
                <w:color w:val="FFFFFF"/>
                <w:sz w:val="15"/>
                <w:szCs w:val="15"/>
              </w:rPr>
              <w:t xml:space="preserve">On-Prem Required</w:t>
            </w:r>
          </w:p>
        </w:tc>
      </w:tr>
      <w:tr>
        <w:tc>
          <w:tcPr>
            <w:tcW w:type="dxa" w:w="1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5"/>
                <w:szCs w:val="15"/>
              </w:rPr>
              <w:t xml:space="preserve">Singapore</w:t>
            </w:r>
          </w:p>
        </w:tc>
        <w:tc>
          <w:tcPr>
            <w:tcW w:type="dxa" w:w="19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PDPA 2012 (amended 2021); MAS TRM 2021</w:t>
            </w:r>
          </w:p>
        </w:tc>
        <w:tc>
          <w:tcPr>
            <w:tcW w:type="dxa" w:w="18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Any information about an identified or identifiable individual (PDPA s2)</w:t>
            </w:r>
          </w:p>
        </w:tc>
        <w:tc>
          <w:tcPr>
            <w:tcW w:type="dxa" w:w="19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No general localisation requirement. Cross-border transfers with adequate protection.</w:t>
            </w:r>
          </w:p>
        </w:tc>
        <w:tc>
          <w:tcPr>
            <w:tcW w:type="dxa" w:w="19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Not required. AWS ap-southeast-1 satisfies residency. DPA required for all clients.</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5"/>
                <w:szCs w:val="15"/>
              </w:rPr>
              <w:t xml:space="preserve">Switzerland</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5"/>
                <w:szCs w:val="15"/>
              </w:rPr>
              <w:t xml:space="preserve">nDSG (effective Sep 2023); FINMA Circ. 2023/1</w:t>
            </w:r>
          </w:p>
        </w:tc>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5"/>
                <w:szCs w:val="15"/>
              </w:rPr>
              <w:t xml:space="preserve">All information relating to an identified or identifiable natural person (Art.5(a))</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5"/>
                <w:szCs w:val="15"/>
              </w:rPr>
              <w:t xml:space="preserve">Cross-border to countries with adequate protection or appropriate safeguards (Art.16).</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5"/>
                <w:szCs w:val="15"/>
              </w:rPr>
              <w:t xml:space="preserve">Not required. AWS eu-central-2 (Zurich) for Swiss-resident clients. DPA required.</w:t>
            </w:r>
          </w:p>
        </w:tc>
      </w:tr>
      <w:tr>
        <w:tc>
          <w:tcPr>
            <w:tcW w:type="dxa" w:w="1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5"/>
                <w:szCs w:val="15"/>
              </w:rPr>
              <w:t xml:space="preserve">UK</w:t>
            </w:r>
          </w:p>
        </w:tc>
        <w:tc>
          <w:tcPr>
            <w:tcW w:type="dxa" w:w="19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UK GDPR; DPA 2018; FCA SYSC 8 and SYSC 13</w:t>
            </w:r>
          </w:p>
        </w:tc>
        <w:tc>
          <w:tcPr>
            <w:tcW w:type="dxa" w:w="18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Any information relating to an identified or identifiable natural person (Art.4(1))</w:t>
            </w:r>
          </w:p>
        </w:tc>
        <w:tc>
          <w:tcPr>
            <w:tcW w:type="dxa" w:w="19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UK adequacy decisions. IDTAs for other transfers. Singapore adequacy status: confirm with counsel.</w:t>
            </w:r>
          </w:p>
        </w:tc>
        <w:tc>
          <w:tcPr>
            <w:tcW w:type="dxa" w:w="19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Not required. AWS eu-west-2 (London) for UK clients. DPA required.</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5"/>
                <w:szCs w:val="15"/>
              </w:rPr>
              <w:t xml:space="preserve">UAE (DIFC)</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5"/>
                <w:szCs w:val="15"/>
              </w:rPr>
              <w:t xml:space="preserve">DIFC DPL No.5 of 2020; DFSA Rules</w:t>
            </w:r>
          </w:p>
        </w:tc>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5"/>
                <w:szCs w:val="15"/>
              </w:rPr>
              <w:t xml:space="preserve">Any information relating to an identified or identifiable individual (DPL Art.1)</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5"/>
                <w:szCs w:val="15"/>
              </w:rPr>
              <w:t xml:space="preserve">Transfers to jurisdictions with adequate protection or appropriate safeguards.</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5"/>
                <w:szCs w:val="15"/>
              </w:rPr>
              <w:t xml:space="preserve">Not required for DIFC entities. AWS me-central-1 (UAE) provides in-country residency.</w:t>
            </w:r>
          </w:p>
        </w:tc>
      </w:tr>
      <w:tr>
        <w:tc>
          <w:tcPr>
            <w:tcW w:type="dxa" w:w="1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5"/>
                <w:szCs w:val="15"/>
              </w:rPr>
              <w:t xml:space="preserve">Saudi Arabia</w:t>
            </w:r>
          </w:p>
        </w:tc>
        <w:tc>
          <w:tcPr>
            <w:tcW w:type="dxa" w:w="19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PDPL Royal Decree M/19 (Sep 2023); SAMA Cloud Framework</w:t>
            </w:r>
          </w:p>
        </w:tc>
        <w:tc>
          <w:tcPr>
            <w:tcW w:type="dxa" w:w="18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Data concerning an identified or identifiable natural person (PDPL Art.2)</w:t>
            </w:r>
          </w:p>
        </w:tc>
        <w:tc>
          <w:tcPr>
            <w:tcW w:type="dxa" w:w="19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Strict localisation. Personal data of Saudi nationals must remain in Saudi Arabia.</w:t>
            </w:r>
          </w:p>
        </w:tc>
        <w:tc>
          <w:tcPr>
            <w:tcW w:type="dxa" w:w="19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5"/>
                <w:szCs w:val="15"/>
              </w:rPr>
              <w:t xml:space="preserve">Effectively required. AWS Saudi region (me-central-1 KSA) under construction.</w:t>
            </w:r>
          </w:p>
        </w:tc>
      </w:tr>
    </w:tbl>
    <w:p>
      <w:pPr>
        <w:spacing w:after="0" w:before="100"/>
      </w:pPr>
    </w:p>
    <w:p>
      <w:pPr>
        <w:pStyle w:val="Heading2"/>
        <w:spacing w:after="60" w:before="240"/>
      </w:pPr>
      <w:r>
        <w:rPr>
          <w:rFonts w:ascii="Arial" w:cs="Arial" w:eastAsia="Arial" w:hAnsi="Arial"/>
          <w:b/>
          <w:bCs/>
          <w:color w:val="1A1A1A"/>
          <w:sz w:val="21"/>
          <w:szCs w:val="21"/>
        </w:rPr>
        <w:t xml:space="preserve">5.1 Singapore</w:t>
      </w:r>
    </w:p>
    <w:p>
      <w:pPr>
        <w:pStyle w:val="Heading3"/>
        <w:spacing w:after="40" w:before="180"/>
      </w:pPr>
      <w:r>
        <w:rPr>
          <w:rFonts w:ascii="Arial" w:cs="Arial" w:eastAsia="Arial" w:hAnsi="Arial"/>
          <w:b/>
          <w:bCs/>
          <w:color w:val="1A3A5C"/>
          <w:sz w:val="19"/>
          <w:szCs w:val="19"/>
        </w:rPr>
        <w:t xml:space="preserve">PDPA 2012 (amended 2021)</w:t>
      </w:r>
    </w:p>
    <w:p>
      <w:pPr>
        <w:spacing w:after="50" w:before="50" w:line="318" w:lineRule="auto"/>
      </w:pPr>
      <w:r>
        <w:rPr>
          <w:rFonts w:ascii="Arial" w:cs="Arial" w:eastAsia="Arial" w:hAnsi="Arial"/>
          <w:b w:val="false"/>
          <w:bCs w:val="false"/>
          <w:i w:val="false"/>
          <w:iCs w:val="false"/>
          <w:color w:val="333333"/>
          <w:sz w:val="20"/>
          <w:szCs w:val="20"/>
        </w:rPr>
        <w:t xml:space="preserve">The PDPA defines personal data as “data, whether true or false, about an individual who can be identified from that data; or from that data and other information to which the organisation has or is likely to have access.” The phrase ‘or from that data and other information to which the organisation has or is likely to have access’ is broader than the GDPR definition. It may affect the pseudonymisation argument: a court could find that InvestPuppy, as the developer and operator of the cloud system, ‘is likely to have access’ to the identity vault through other means. Singapore counsel confirmation of the pseudonymisation position is specifically required against this broader PDPA definition.</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The 2021 amendments introduced mandatory data breach notification (3 calendar days to PDPC and potentially affected individuals for breaches involving significant harm) and enhanced penalties (up to SGD 1 million or 10% of annual turnover for prescribed organisations). The business contact information exemption may apply to institutional client contact data but does not affect investment account data classification.</w:t>
      </w:r>
    </w:p>
    <w:p>
      <w:pPr>
        <w:spacing w:after="0" w:before="80"/>
      </w:pPr>
    </w:p>
    <w:p>
      <w:pPr>
        <w:pStyle w:val="Heading3"/>
        <w:spacing w:after="40" w:before="180"/>
      </w:pPr>
      <w:r>
        <w:rPr>
          <w:rFonts w:ascii="Arial" w:cs="Arial" w:eastAsia="Arial" w:hAnsi="Arial"/>
          <w:b/>
          <w:bCs/>
          <w:color w:val="1A3A5C"/>
          <w:sz w:val="19"/>
          <w:szCs w:val="19"/>
        </w:rPr>
        <w:t xml:space="preserve">MAS TRM Guidelines 2021</w:t>
      </w:r>
    </w:p>
    <w:p>
      <w:pPr>
        <w:spacing w:after="50" w:before="50" w:line="318" w:lineRule="auto"/>
      </w:pPr>
      <w:r>
        <w:rPr>
          <w:rFonts w:ascii="Arial" w:cs="Arial" w:eastAsia="Arial" w:hAnsi="Arial"/>
          <w:b w:val="false"/>
          <w:bCs w:val="false"/>
          <w:i w:val="false"/>
          <w:iCs w:val="false"/>
          <w:color w:val="333333"/>
          <w:sz w:val="20"/>
          <w:szCs w:val="20"/>
        </w:rPr>
        <w:t xml:space="preserve">The MAS TRM guidelines require financial institutions to conduct technology risk due diligence on third-party vendors. Under the pseudonymised model (Institutional), InvestPuppy’s vendor risk classification shifts from ‘personal data processor’ to ‘market data and computation service provider.’ Under the standard model (Boutique), InvestPuppy remains classified as a personal data processor and the full TRM due diligence pathway applies.</w:t>
      </w:r>
    </w:p>
    <w:p>
      <w:pPr>
        <w:spacing w:after="0" w:before="80"/>
      </w:pPr>
    </w:p>
    <w:p>
      <w:pPr>
        <w:pStyle w:val="Heading2"/>
        <w:spacing w:after="60" w:before="240"/>
      </w:pPr>
      <w:r>
        <w:rPr>
          <w:rFonts w:ascii="Arial" w:cs="Arial" w:eastAsia="Arial" w:hAnsi="Arial"/>
          <w:b/>
          <w:bCs/>
          <w:color w:val="1A1A1A"/>
          <w:sz w:val="21"/>
          <w:szCs w:val="21"/>
        </w:rPr>
        <w:t xml:space="preserve">5.2 Switzerland</w:t>
      </w:r>
    </w:p>
    <w:p>
      <w:pPr>
        <w:pStyle w:val="Heading3"/>
        <w:spacing w:after="40" w:before="180"/>
      </w:pPr>
      <w:r>
        <w:rPr>
          <w:rFonts w:ascii="Arial" w:cs="Arial" w:eastAsia="Arial" w:hAnsi="Arial"/>
          <w:b/>
          <w:bCs/>
          <w:color w:val="1A3A5C"/>
          <w:sz w:val="19"/>
          <w:szCs w:val="19"/>
        </w:rPr>
        <w:t xml:space="preserve">nDSG (Federal Act on Data Protection, effective September 2023)</w:t>
      </w:r>
    </w:p>
    <w:p>
      <w:pPr>
        <w:spacing w:after="50" w:before="50" w:line="318" w:lineRule="auto"/>
      </w:pPr>
      <w:r>
        <w:rPr>
          <w:rFonts w:ascii="Arial" w:cs="Arial" w:eastAsia="Arial" w:hAnsi="Arial"/>
          <w:b w:val="false"/>
          <w:bCs w:val="false"/>
          <w:i w:val="false"/>
          <w:iCs w:val="false"/>
          <w:color w:val="333333"/>
          <w:sz w:val="20"/>
          <w:szCs w:val="20"/>
        </w:rPr>
        <w:t xml:space="preserve">The nDSG defines personal data as “all information relating to an identified or identifiable natural person” and explicitly defines pseudonymisation at Article 5(e). The nDSG aligns closely with GDPR. The Breyer principle should apply, but Swiss counsel confirmation is required. Note: nDSG article numbering should be verified against the enacted text—earlier drafts differed from the final version.</w:t>
      </w:r>
    </w:p>
    <w:p>
      <w:pPr>
        <w:spacing w:after="0" w:before="60"/>
      </w:pPr>
    </w:p>
    <w:p>
      <w:pPr>
        <w:pBdr>
          <w:left w:val="single" w:color="C8A96E" w:sz="12" w:space="6"/>
        </w:pBdr>
        <w:spacing w:after="40" w:before="40" w:line="300" w:lineRule="auto"/>
        <w:ind w:left="400"/>
      </w:pPr>
      <w:r>
        <w:rPr>
          <w:rFonts w:ascii="Arial" w:cs="Arial" w:eastAsia="Arial" w:hAnsi="Arial"/>
          <w:i/>
          <w:iCs/>
          <w:color w:val="666666"/>
          <w:sz w:val="18"/>
          <w:szCs w:val="18"/>
        </w:rPr>
        <w:t xml:space="preserve">The nDSG identifiability test (‘identifiable natural person’) has not been extensively litigated in Swiss courts. Its precise scope relative to the GDPR definition is uncertain. Swiss counsel should specifically address whether the nDSG identifiability test produces the same result as GDPR on the pseudonymisation position, or whether Swiss-specific interpretations apply.</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Cross-border transfers under nDSG Article 16 require adequate protection. Switzerland’s list of adequate countries should be consulted before transfers to non-EU destinations. AWS eu-central-2 (Zurich) provides in-country Swiss data residency for clients requiring it.</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Bankgeheimnis (banking secrecy) is a professional obligation of Swiss financial institutions beyond privacy law. A Swiss IAM using Vektor has a banking secrecy obligation toward its clients. The identity vault model satisfies this obligation: client identities remain exclusively in the IAM’s control and never enter a third-party system. This is an additional argument for the hybrid model specific to Switzerland that is independent of nDSG requirements.</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Bankgeheimnis also applies to the Vektor : Boutique standard cloud model. A Swiss IAM using Vektor : Boutique has a banking secrecy obligation toward its clients but InvestPuppy holds their identifying information in cloud. This is permissible under a contractual service arrangement, but the DPA for Swiss boutique clients must specifically address banking secrecy obligations and the Swiss IAM must satisfy itself that the arrangement is consistent with its cantonal banking regulations and professional licensing conditions. The AO reviewing the Swiss IAM’s compliance will typically review the DPA as part of ongoing supervision.</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FINMA’s guidance on cloud use by supervised entities requires that the supervised entity retain control over its data. The hybrid model directly satisfies this: the institution controls the PII; InvestPuppy holds only pseudonymised operational data. Name this explicitly in Swiss institutional conversations.</w:t>
      </w:r>
    </w:p>
    <w:p>
      <w:pPr>
        <w:spacing w:after="0" w:before="80"/>
      </w:pPr>
    </w:p>
    <w:p>
      <w:pPr>
        <w:pStyle w:val="Heading2"/>
        <w:spacing w:after="60" w:before="240"/>
      </w:pPr>
      <w:r>
        <w:rPr>
          <w:rFonts w:ascii="Arial" w:cs="Arial" w:eastAsia="Arial" w:hAnsi="Arial"/>
          <w:b/>
          <w:bCs/>
          <w:color w:val="1A1A1A"/>
          <w:sz w:val="21"/>
          <w:szCs w:val="21"/>
        </w:rPr>
        <w:t xml:space="preserve">5.3 United Kingdom</w:t>
      </w:r>
    </w:p>
    <w:p>
      <w:pPr>
        <w:pStyle w:val="Heading3"/>
        <w:spacing w:after="40" w:before="180"/>
      </w:pPr>
      <w:r>
        <w:rPr>
          <w:rFonts w:ascii="Arial" w:cs="Arial" w:eastAsia="Arial" w:hAnsi="Arial"/>
          <w:b/>
          <w:bCs/>
          <w:color w:val="1A3A5C"/>
          <w:sz w:val="19"/>
          <w:szCs w:val="19"/>
        </w:rPr>
        <w:t xml:space="preserve">UK GDPR and Data Protection Act 2018</w:t>
      </w:r>
    </w:p>
    <w:p>
      <w:pPr>
        <w:spacing w:after="50" w:before="50" w:line="318" w:lineRule="auto"/>
      </w:pPr>
      <w:r>
        <w:rPr>
          <w:rFonts w:ascii="Arial" w:cs="Arial" w:eastAsia="Arial" w:hAnsi="Arial"/>
          <w:b w:val="false"/>
          <w:bCs w:val="false"/>
          <w:i w:val="false"/>
          <w:iCs w:val="false"/>
          <w:color w:val="333333"/>
          <w:sz w:val="20"/>
          <w:szCs w:val="20"/>
        </w:rPr>
        <w:t xml:space="preserve">The UK retained EU GDPR as UK GDPR post-Brexit. The personal data definition (Art.4(1)) and pseudonymisation definition (Art.4(5)) are identical to EU GDPR. The Breyer principle applies under UK GDPR.</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Cross-border transfers: the UK has issued adequacy regulations for certain jurisdictions post-Brexit. The EU, Switzerland, and several other jurisdictions have UK adequacy status. Singapore’s adequacy status under UK law requires confirmation with UK counsel before transfers of UK-subject personal data to Singapore are relied upon. Where adequacy is absent, IDTAs (International Data Transfer Agreements, the UK successor to SCCs) are required.</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FCA requirements: the FCA’s operational resilience policy (PS21/3) requires FCA-regulated firms to map important business services and identify third-party dependencies. SYSC 8 covers outsourcing; SYSC 13 covers operational risk management including technology risk. Both apply to FCA-regulated boutique clients using Vektor. UK distribution remains blocked pending the UK-01 FCA legal opinion on whether Vektor’s signal generation and order creation constitutes a regulated activity.</w:t>
      </w:r>
    </w:p>
    <w:p>
      <w:pPr>
        <w:spacing w:after="0" w:before="80"/>
      </w:pPr>
    </w:p>
    <w:p>
      <w:pPr>
        <w:pStyle w:val="Heading2"/>
        <w:spacing w:after="60" w:before="240"/>
      </w:pPr>
      <w:r>
        <w:rPr>
          <w:rFonts w:ascii="Arial" w:cs="Arial" w:eastAsia="Arial" w:hAnsi="Arial"/>
          <w:b/>
          <w:bCs/>
          <w:color w:val="1A1A1A"/>
          <w:sz w:val="21"/>
          <w:szCs w:val="21"/>
        </w:rPr>
        <w:t xml:space="preserve">5.4 UAE — DIFC</w:t>
      </w:r>
    </w:p>
    <w:p>
      <w:pPr>
        <w:pStyle w:val="Heading3"/>
        <w:spacing w:after="40" w:before="180"/>
      </w:pPr>
      <w:r>
        <w:rPr>
          <w:rFonts w:ascii="Arial" w:cs="Arial" w:eastAsia="Arial" w:hAnsi="Arial"/>
          <w:b/>
          <w:bCs/>
          <w:color w:val="1A3A5C"/>
          <w:sz w:val="19"/>
          <w:szCs w:val="19"/>
        </w:rPr>
        <w:t xml:space="preserve">DIFC Data Protection Law No. 5 of 2020</w:t>
      </w:r>
    </w:p>
    <w:p>
      <w:pPr>
        <w:spacing w:after="50" w:before="50" w:line="318" w:lineRule="auto"/>
      </w:pPr>
      <w:r>
        <w:rPr>
          <w:rFonts w:ascii="Arial" w:cs="Arial" w:eastAsia="Arial" w:hAnsi="Arial"/>
          <w:b w:val="false"/>
          <w:bCs w:val="false"/>
          <w:i w:val="false"/>
          <w:iCs w:val="false"/>
          <w:color w:val="333333"/>
          <w:sz w:val="20"/>
          <w:szCs w:val="20"/>
        </w:rPr>
        <w:t xml:space="preserve">The DIFC DPL is explicitly modelled on GDPR. It defines personal data as “any information relating to an identified or identifiable individual” (Art.1) and defines pseudonymisation equivalently to GDPR Art.4(5). The Breyer principle should apply in the DIFC jurisdiction; DIFC counsel confirmation required.</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Data controllers must register with the DIFC Commissioner of Data Protection. Data processors must enter into a Data Processing Contract. Under the hybrid pseudonymised model, InvestPuppy may not be a personal data processor; DIFC counsel confirmation should specifically address whether the Data Processing Contract is required under the pseudonymised model.</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AWS region: AWS me-central-1 is the UAE-specific region (Dubai), providing in-country UAE data residency. AWS ME-SOUTH-1 is located in Bahrain and does not provide UAE data residency. For DIFC clients requiring UAE data residency, me-central-1 is the correct region.</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Cultural context: client confidentiality in Gulf wealth management operates under norms that exceed regulatory requirements. A family office principal in Dubai (DIFC-regulated) or Abu Dhabi (ADGM-regulated) whose clients include prominent regional families expects an unqualified answer to the question ‘Can your staff see my client names?’ The hybrid model provides that answer: no InvestPuppy system processes client names. This cultural expectation is as commercially significant in Gulf institutional conversations as the legal framework.</w:t>
      </w:r>
    </w:p>
    <w:p>
      <w:pPr>
        <w:spacing w:after="0" w:before="80"/>
      </w:pPr>
    </w:p>
    <w:p>
      <w:pPr>
        <w:pStyle w:val="Heading3"/>
        <w:spacing w:after="40" w:before="180"/>
      </w:pPr>
      <w:r>
        <w:rPr>
          <w:rFonts w:ascii="Arial" w:cs="Arial" w:eastAsia="Arial" w:hAnsi="Arial"/>
          <w:b/>
          <w:bCs/>
          <w:color w:val="1A3A5C"/>
          <w:sz w:val="19"/>
          <w:szCs w:val="19"/>
        </w:rPr>
        <w:t xml:space="preserve">ADGM Data Protection Regulations 2021 and UAE Federal Law</w:t>
      </w:r>
    </w:p>
    <w:p>
      <w:pPr>
        <w:spacing w:after="50" w:before="50" w:line="318" w:lineRule="auto"/>
      </w:pPr>
      <w:r>
        <w:rPr>
          <w:rFonts w:ascii="Arial" w:cs="Arial" w:eastAsia="Arial" w:hAnsi="Arial"/>
          <w:b w:val="false"/>
          <w:bCs w:val="false"/>
          <w:i w:val="false"/>
          <w:iCs w:val="false"/>
          <w:color w:val="333333"/>
          <w:sz w:val="20"/>
          <w:szCs w:val="20"/>
        </w:rPr>
        <w:t xml:space="preserve">ADGM entities are subject to the ADGM DPR (GDPR-aligned) rather than the DIFC DPL. UAE mainland entities are subject to Federal Decree-Law No. 45 of 2021. For InvestPuppy’s near-term Middle East strategy targeting DIFC-based institutions, the DIFC DPL is primary. ADGM and mainland UAE analysis should be conducted when ADGM or mainland prospects are identified.</w:t>
      </w:r>
    </w:p>
    <w:p>
      <w:pPr>
        <w:spacing w:after="0" w:before="80"/>
      </w:pPr>
    </w:p>
    <w:p>
      <w:pPr>
        <w:pStyle w:val="Heading2"/>
        <w:spacing w:after="60" w:before="240"/>
      </w:pPr>
      <w:r>
        <w:rPr>
          <w:rFonts w:ascii="Arial" w:cs="Arial" w:eastAsia="Arial" w:hAnsi="Arial"/>
          <w:b/>
          <w:bCs/>
          <w:color w:val="1A1A1A"/>
          <w:sz w:val="21"/>
          <w:szCs w:val="21"/>
        </w:rPr>
        <w:t xml:space="preserve">5.5 Saudi Arabia</w:t>
      </w:r>
    </w:p>
    <w:p>
      <w:pPr>
        <w:pStyle w:val="Heading3"/>
        <w:spacing w:after="40" w:before="180"/>
      </w:pPr>
      <w:r>
        <w:rPr>
          <w:rFonts w:ascii="Arial" w:cs="Arial" w:eastAsia="Arial" w:hAnsi="Arial"/>
          <w:b/>
          <w:bCs/>
          <w:color w:val="1A3A5C"/>
          <w:sz w:val="19"/>
          <w:szCs w:val="19"/>
        </w:rPr>
        <w:t xml:space="preserve">PDPL (Royal Decree M/19, effective September 2023) and SAMA Cloud Framework</w:t>
      </w:r>
    </w:p>
    <w:p>
      <w:pPr>
        <w:spacing w:after="50" w:before="50" w:line="318" w:lineRule="auto"/>
      </w:pPr>
      <w:r>
        <w:rPr>
          <w:rFonts w:ascii="Arial" w:cs="Arial" w:eastAsia="Arial" w:hAnsi="Arial"/>
          <w:b w:val="false"/>
          <w:bCs w:val="false"/>
          <w:i w:val="false"/>
          <w:iCs w:val="false"/>
          <w:color w:val="333333"/>
          <w:sz w:val="20"/>
          <w:szCs w:val="20"/>
        </w:rPr>
        <w:t xml:space="preserve">Saudi Arabia’s PDPL imposes strict data localisation: personal data of Saudi nationals must be stored in Saudi Arabia, with transfers abroad requiring SDAIA approval. The SAMA cloud framework classifies client financial data as likely ‘confidential’ or ‘secret,’ which may require Saudi-territory hosting even with PDPL provisions.</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The identity vault model does not resolve Saudi PDPL localisation requirements. The PDPL applies to all personal data about Saudi nationals, not only to PII attributes held in an identity vault. InvestPuppy’s cloud-held pseudonymised data may still be subject to localisation requirements if Saudi counsel determines that pseudonymised data relating to Saudi nationals constitutes personal data under the PDPL.</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Saudi Arabia is not in the near-term target market. It becomes viable when: (a) the AWS Saudi Arabia region (me-central-1 KSA, under construction) is operational and InvestPuppy can deploy in-country, or (b) a local data centre arrangement is established. The Gulf family office segment—whose assets are custodied at international private banks outside Saudi Arabia—has different data sovereignty characteristics and may be accessible earlier. Confirm with Saudi counsel when this segment is engaged.</w:t>
      </w:r>
    </w:p>
    <w:p>
      <w:pPr>
        <w:pStyle w:val="Heading1"/>
        <w:pBdr>
          <w:bottom w:val="single" w:color="1A3A5C" w:sz="3" w:space="4"/>
        </w:pBdr>
        <w:spacing w:after="80" w:before="360"/>
      </w:pPr>
      <w:r>
        <w:rPr>
          <w:rFonts w:ascii="Arial" w:cs="Arial" w:eastAsia="Arial" w:hAnsi="Arial"/>
          <w:b/>
          <w:bCs/>
          <w:caps/>
          <w:color w:val="1A3A5C"/>
          <w:sz w:val="24"/>
          <w:szCs w:val="24"/>
        </w:rPr>
        <w:t xml:space="preserve">6 · Attribute Classification — Vektor Data Model</w:t>
      </w:r>
    </w:p>
    <w:p>
      <w:pPr>
        <w:spacing w:after="50" w:before="50" w:line="318" w:lineRule="auto"/>
      </w:pPr>
      <w:r>
        <w:rPr>
          <w:rFonts w:ascii="Arial" w:cs="Arial" w:eastAsia="Arial" w:hAnsi="Arial"/>
          <w:b w:val="false"/>
          <w:bCs w:val="false"/>
          <w:i w:val="false"/>
          <w:iCs w:val="false"/>
          <w:color w:val="333333"/>
          <w:sz w:val="20"/>
          <w:szCs w:val="20"/>
        </w:rPr>
        <w:t xml:space="preserve">The following tables provide the field-by-field classification for every table in the Vektor data model. This classification should be added as a column in DATA-MODEL-overview. Every new field added to the data model requires a classification decision before production deployment.</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ABCD4" w:sz="1"/>
              <w:left w:val="single" w:color="1A3A5C" w:sz="12"/>
              <w:bottom w:val="single" w:color="AABCD4" w:sz="1"/>
              <w:right w:val="single" w:color="AABCD4" w:sz="1"/>
            </w:tcBorders>
            <w:shd w:fill="FDF9F2"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PUB — Public. Publicly available. No protection required.</w:t>
            </w:r>
          </w:p>
        </w:tc>
      </w:tr>
      <w:tr>
        <w:tc>
          <w:tcPr>
            <w:tcW w:type="dxa" w:w="8800"/>
            <w:tcBorders>
              <w:top w:val="single" w:color="AABCD4" w:sz="1"/>
              <w:left w:val="single" w:color="1A3A5C" w:sz="12"/>
              <w:bottom w:val="single" w:color="AABCD4" w:sz="1"/>
              <w:right w:val="single" w:color="AABCD4" w:sz="1"/>
            </w:tcBorders>
            <w:shd w:fill="FDF9F2"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PROP — Proprietary. Commercial IP. Contractual confidentiality. Cloud.</w:t>
            </w:r>
          </w:p>
        </w:tc>
      </w:tr>
      <w:tr>
        <w:tc>
          <w:tcPr>
            <w:tcW w:type="dxa" w:w="8800"/>
            <w:tcBorders>
              <w:top w:val="single" w:color="AABCD4" w:sz="1"/>
              <w:left w:val="single" w:color="1A3A5C" w:sz="12"/>
              <w:bottom w:val="single" w:color="AABCD4" w:sz="1"/>
              <w:right w:val="single" w:color="AABCD4" w:sz="1"/>
            </w:tcBorders>
            <w:shd w:fill="FDF9F2"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PSEUDO — Pseudonymised. UUID-keyed. Not personal data when key held separately. Cloud-safe.</w:t>
            </w:r>
          </w:p>
        </w:tc>
      </w:tr>
      <w:tr>
        <w:tc>
          <w:tcPr>
            <w:tcW w:type="dxa" w:w="8800"/>
            <w:tcBorders>
              <w:top w:val="single" w:color="AABCD4" w:sz="1"/>
              <w:left w:val="single" w:color="1A3A5C" w:sz="12"/>
              <w:bottom w:val="single" w:color="AABCD4" w:sz="1"/>
              <w:right w:val="single" w:color="AABCD4" w:sz="1"/>
            </w:tcBorders>
            <w:shd w:fill="FDF9F2"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PII — Personal identifying. DPA (Boutique) or identity vault (Institutional).</w:t>
            </w:r>
          </w:p>
        </w:tc>
      </w:tr>
      <w:tr>
        <w:tc>
          <w:tcPr>
            <w:tcW w:type="dxa" w:w="8800"/>
            <w:tcBorders>
              <w:top w:val="single" w:color="AABCD4" w:sz="1"/>
              <w:left w:val="single" w:color="1A3A5C" w:sz="12"/>
              <w:bottom w:val="single" w:color="AABCD4" w:sz="1"/>
              <w:right w:val="single" w:color="AABCD4" w:sz="1"/>
            </w:tcBorders>
            <w:shd w:fill="FDF9F2"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BOUNDARY — Classification requires legal opinion. See Section 2.6.</w:t>
            </w:r>
          </w:p>
        </w:tc>
      </w:tr>
    </w:tbl>
    <w:p>
      <w:pPr>
        <w:spacing w:after="0" w:before="80"/>
      </w:pPr>
    </w:p>
    <w:p>
      <w:pPr>
        <w:pStyle w:val="Heading3"/>
        <w:spacing w:after="40" w:before="180"/>
      </w:pPr>
      <w:r>
        <w:rPr>
          <w:rFonts w:ascii="Arial" w:cs="Arial" w:eastAsia="Arial" w:hAnsi="Arial"/>
          <w:b/>
          <w:bCs/>
          <w:color w:val="1A3A5C"/>
          <w:sz w:val="19"/>
          <w:szCs w:val="19"/>
        </w:rPr>
        <w:t xml:space="preserve">market_data Schema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Table</w:t>
            </w:r>
          </w:p>
        </w:tc>
        <w:tc>
          <w:tcPr>
            <w:tcW w:type="dxa" w:w="33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Field</w:t>
            </w:r>
          </w:p>
        </w:tc>
        <w:tc>
          <w:tcPr>
            <w:tcW w:type="dxa" w:w="33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Classification</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instrument_master</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All fields (symbol, isin, instrument_name, instrument_type, exchange_code, currency, country_code, sector, industry, market_cap_usd, is_active)</w:t>
            </w:r>
          </w:p>
        </w:tc>
        <w:tc>
          <w:tcPr>
            <w:tcW w:type="dxa" w:w="3300"/>
            <w:tcBorders>
              <w:top w:val="single" w:color="CCCCCC" w:sz="1"/>
              <w:left w:val="single" w:color="CCCCCC" w:sz="1"/>
              <w:bottom w:val="single" w:color="CCCCCC" w:sz="1"/>
              <w:right w:val="single" w:color="CCCCCC"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PUB</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price_history</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All fields (price_date, open_price, high_price, low_price, close_price, volume, adjusted_close)</w:t>
            </w:r>
          </w:p>
        </w:tc>
        <w:tc>
          <w:tcPr>
            <w:tcW w:type="dxa" w:w="3300"/>
            <w:tcBorders>
              <w:top w:val="single" w:color="CCCCCC" w:sz="1"/>
              <w:left w:val="single" w:color="CCCCCC" w:sz="1"/>
              <w:bottom w:val="single" w:color="CCCCCC" w:sz="1"/>
              <w:right w:val="single" w:color="CCCCCC"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PUB</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exchange_rate_master / history</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All fields</w:t>
            </w:r>
          </w:p>
        </w:tc>
        <w:tc>
          <w:tcPr>
            <w:tcW w:type="dxa" w:w="3300"/>
            <w:tcBorders>
              <w:top w:val="single" w:color="CCCCCC" w:sz="1"/>
              <w:left w:val="single" w:color="CCCCCC" w:sz="1"/>
              <w:bottom w:val="single" w:color="CCCCCC" w:sz="1"/>
              <w:right w:val="single" w:color="CCCCCC"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PUB</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risk_free_rate_master / history</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All fields</w:t>
            </w:r>
          </w:p>
        </w:tc>
        <w:tc>
          <w:tcPr>
            <w:tcW w:type="dxa" w:w="3300"/>
            <w:tcBorders>
              <w:top w:val="single" w:color="CCCCCC" w:sz="1"/>
              <w:left w:val="single" w:color="CCCCCC" w:sz="1"/>
              <w:bottom w:val="single" w:color="CCCCCC" w:sz="1"/>
              <w:right w:val="single" w:color="CCCCCC"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PUB</w:t>
            </w:r>
          </w:p>
        </w:tc>
      </w:tr>
    </w:tbl>
    <w:p>
      <w:pPr>
        <w:spacing w:after="0" w:before="80"/>
      </w:pPr>
    </w:p>
    <w:p>
      <w:pPr>
        <w:pStyle w:val="Heading3"/>
        <w:spacing w:after="40" w:before="180"/>
      </w:pPr>
      <w:r>
        <w:rPr>
          <w:rFonts w:ascii="Arial" w:cs="Arial" w:eastAsia="Arial" w:hAnsi="Arial"/>
          <w:b/>
          <w:bCs/>
          <w:color w:val="1A3A5C"/>
          <w:sz w:val="19"/>
          <w:szCs w:val="19"/>
        </w:rPr>
        <w:t xml:space="preserve">customer_data Schema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Table</w:t>
            </w:r>
          </w:p>
        </w:tc>
        <w:tc>
          <w:tcPr>
            <w:tcW w:type="dxa" w:w="33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Field</w:t>
            </w:r>
          </w:p>
        </w:tc>
        <w:tc>
          <w:tcPr>
            <w:tcW w:type="dxa" w:w="33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Classification</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customer_master</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customer_id (UUID PK)</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customer_master</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customer_name</w:t>
            </w:r>
          </w:p>
        </w:tc>
        <w:tc>
          <w:tcPr>
            <w:tcW w:type="dxa" w:w="33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PII</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customer_master</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customer_type</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customer_master</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onboarding_date</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customer_master</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kyc_status</w:t>
            </w:r>
          </w:p>
        </w:tc>
        <w:tc>
          <w:tcPr>
            <w:tcW w:type="dxa" w:w="3300"/>
            <w:tcBorders>
              <w:top w:val="single" w:color="CCCCCC" w:sz="1"/>
              <w:left w:val="single" w:color="CCCCCC" w:sz="1"/>
              <w:bottom w:val="single" w:color="CCCCCC" w:sz="1"/>
              <w:right w:val="single" w:color="CCCCCC" w:sz="1"/>
            </w:tcBorders>
            <w:shd w:fill="FFF8E1" w:val="clear"/>
            <w:tcMar>
              <w:top w:type="dxa" w:w="55"/>
              <w:left w:type="dxa" w:w="90"/>
              <w:bottom w:type="dxa" w:w="55"/>
              <w:right w:type="dxa" w:w="90"/>
            </w:tcMar>
          </w:tcPr>
          <w:p>
            <w:r>
              <w:rPr>
                <w:rFonts w:ascii="Arial" w:cs="Arial" w:eastAsia="Arial" w:hAnsi="Arial"/>
                <w:b/>
                <w:bCs/>
                <w:color w:val="F57F17"/>
                <w:sz w:val="16"/>
                <w:szCs w:val="16"/>
              </w:rPr>
              <w:t xml:space="preserve">BOUNDARY</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customer_master</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risk_profile</w:t>
            </w:r>
          </w:p>
        </w:tc>
        <w:tc>
          <w:tcPr>
            <w:tcW w:type="dxa" w:w="3300"/>
            <w:tcBorders>
              <w:top w:val="single" w:color="CCCCCC" w:sz="1"/>
              <w:left w:val="single" w:color="CCCCCC" w:sz="1"/>
              <w:bottom w:val="single" w:color="CCCCCC" w:sz="1"/>
              <w:right w:val="single" w:color="CCCCCC" w:sz="1"/>
            </w:tcBorders>
            <w:shd w:fill="FFF8E1" w:val="clear"/>
            <w:tcMar>
              <w:top w:type="dxa" w:w="55"/>
              <w:left w:type="dxa" w:w="90"/>
              <w:bottom w:type="dxa" w:w="55"/>
              <w:right w:type="dxa" w:w="90"/>
            </w:tcMar>
          </w:tcPr>
          <w:p>
            <w:r>
              <w:rPr>
                <w:rFonts w:ascii="Arial" w:cs="Arial" w:eastAsia="Arial" w:hAnsi="Arial"/>
                <w:b/>
                <w:bCs/>
                <w:color w:val="F57F17"/>
                <w:sz w:val="16"/>
                <w:szCs w:val="16"/>
              </w:rPr>
              <w:t xml:space="preserve">BOUNDARY</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customer_master</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base_currency</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customer_master</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status</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customer_master</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created_at</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customer_master</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[address, DOB, national_ID, phone, email if added]</w:t>
            </w:r>
          </w:p>
        </w:tc>
        <w:tc>
          <w:tcPr>
            <w:tcW w:type="dxa" w:w="33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PII</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customer_portfolio_mapping</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All fields (mapping_id, customer_id, portfolio_id, created_at) — UUID references only</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bl>
    <w:p>
      <w:pPr>
        <w:spacing w:after="0" w:before="80"/>
      </w:pPr>
    </w:p>
    <w:p>
      <w:pPr>
        <w:pStyle w:val="Heading3"/>
        <w:spacing w:after="40" w:before="180"/>
      </w:pPr>
      <w:r>
        <w:rPr>
          <w:rFonts w:ascii="Arial" w:cs="Arial" w:eastAsia="Arial" w:hAnsi="Arial"/>
          <w:b/>
          <w:bCs/>
          <w:color w:val="1A3A5C"/>
          <w:sz w:val="19"/>
          <w:szCs w:val="19"/>
        </w:rPr>
        <w:t xml:space="preserve">portfolio_data Schema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Table</w:t>
            </w:r>
          </w:p>
        </w:tc>
        <w:tc>
          <w:tcPr>
            <w:tcW w:type="dxa" w:w="33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Field</w:t>
            </w:r>
          </w:p>
        </w:tc>
        <w:tc>
          <w:tcPr>
            <w:tcW w:type="dxa" w:w="33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Classification</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portfolio_master</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portfolio_id (UUID PK)</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portfolio_master</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portfolio_name</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333333"/>
                <w:sz w:val="16"/>
                <w:szCs w:val="16"/>
              </w:rPr>
              <w:t xml:space="preserve">PII if client-identifying; PSEUDO if generic</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portfolio_master</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customer_id (UUID FK)</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portfolio_master</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strategy_id</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portfolio_master</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base_currency, total_capital, cash_balance, risk_tolerance, is_active</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portfolio_master</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optimization_weights (JSONB)</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portfolio_positions</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All fields (position_id, portfolio_id, instrument_id, weights, quantities, costs, values, signals)</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cash_accounts</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All fields</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cash_movements</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All fields</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instrument_movements</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All fields</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strategy_master</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All fields (strategy parameters, optimisation results, Sharpe ratios)</w:t>
            </w:r>
          </w:p>
        </w:tc>
        <w:tc>
          <w:tcPr>
            <w:tcW w:type="dxa" w:w="3300"/>
            <w:tcBorders>
              <w:top w:val="single" w:color="CCCCCC" w:sz="1"/>
              <w:left w:val="single" w:color="CCCCCC" w:sz="1"/>
              <w:bottom w:val="single" w:color="CCCCCC" w:sz="1"/>
              <w:right w:val="single" w:color="CCCCCC" w:sz="1"/>
            </w:tcBorders>
            <w:shd w:fill="E3F2FD" w:val="clear"/>
            <w:tcMar>
              <w:top w:type="dxa" w:w="55"/>
              <w:left w:type="dxa" w:w="90"/>
              <w:bottom w:type="dxa" w:w="55"/>
              <w:right w:type="dxa" w:w="90"/>
            </w:tcMar>
          </w:tcPr>
          <w:p>
            <w:r>
              <w:rPr>
                <w:rFonts w:ascii="Arial" w:cs="Arial" w:eastAsia="Arial" w:hAnsi="Arial"/>
                <w:b/>
                <w:bCs/>
                <w:color w:val="1A3A5C"/>
                <w:sz w:val="16"/>
                <w:szCs w:val="16"/>
              </w:rPr>
              <w:t xml:space="preserve">PROP</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strategy_instruments</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All fields (selections, weights, indicators, backtest results)</w:t>
            </w:r>
          </w:p>
        </w:tc>
        <w:tc>
          <w:tcPr>
            <w:tcW w:type="dxa" w:w="3300"/>
            <w:tcBorders>
              <w:top w:val="single" w:color="CCCCCC" w:sz="1"/>
              <w:left w:val="single" w:color="CCCCCC" w:sz="1"/>
              <w:bottom w:val="single" w:color="CCCCCC" w:sz="1"/>
              <w:right w:val="single" w:color="CCCCCC" w:sz="1"/>
            </w:tcBorders>
            <w:shd w:fill="E3F2FD" w:val="clear"/>
            <w:tcMar>
              <w:top w:type="dxa" w:w="55"/>
              <w:left w:type="dxa" w:w="90"/>
              <w:bottom w:type="dxa" w:w="55"/>
              <w:right w:type="dxa" w:w="90"/>
            </w:tcMar>
          </w:tcPr>
          <w:p>
            <w:r>
              <w:rPr>
                <w:rFonts w:ascii="Arial" w:cs="Arial" w:eastAsia="Arial" w:hAnsi="Arial"/>
                <w:b/>
                <w:bCs/>
                <w:color w:val="1A3A5C"/>
                <w:sz w:val="16"/>
                <w:szCs w:val="16"/>
              </w:rPr>
              <w:t xml:space="preserve">PROP</w:t>
            </w:r>
          </w:p>
        </w:tc>
      </w:tr>
    </w:tbl>
    <w:p>
      <w:pPr>
        <w:spacing w:after="0" w:before="80"/>
      </w:pPr>
    </w:p>
    <w:p>
      <w:pPr>
        <w:pStyle w:val="Heading3"/>
        <w:spacing w:after="40" w:before="180"/>
      </w:pPr>
      <w:r>
        <w:rPr>
          <w:rFonts w:ascii="Arial" w:cs="Arial" w:eastAsia="Arial" w:hAnsi="Arial"/>
          <w:b/>
          <w:bCs/>
          <w:color w:val="1A3A5C"/>
          <w:sz w:val="19"/>
          <w:szCs w:val="19"/>
        </w:rPr>
        <w:t xml:space="preserve">trade_data Schema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Table</w:t>
            </w:r>
          </w:p>
        </w:tc>
        <w:tc>
          <w:tcPr>
            <w:tcW w:type="dxa" w:w="33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Field</w:t>
            </w:r>
          </w:p>
        </w:tc>
        <w:tc>
          <w:tcPr>
            <w:tcW w:type="dxa" w:w="3300"/>
            <w:tcBorders>
              <w:top w:val="single" w:color="CCCCCC" w:sz="1"/>
              <w:left w:val="single" w:color="CCCCCC" w:sz="1"/>
              <w:bottom w:val="single" w:color="CCCCCC" w:sz="1"/>
              <w:right w:val="single" w:color="CCCCCC" w:sz="1"/>
            </w:tcBorders>
            <w:shd w:fill="1A3A5C" w:val="clear"/>
            <w:tcMar>
              <w:top w:type="dxa" w:w="60"/>
              <w:left w:type="dxa" w:w="90"/>
              <w:bottom w:type="dxa" w:w="60"/>
              <w:right w:type="dxa" w:w="90"/>
            </w:tcMar>
          </w:tcPr>
          <w:p>
            <w:r>
              <w:rPr>
                <w:rFonts w:ascii="Arial" w:cs="Arial" w:eastAsia="Arial" w:hAnsi="Arial"/>
                <w:b/>
                <w:bCs/>
                <w:color w:val="FFFFFF"/>
                <w:sz w:val="16"/>
                <w:szCs w:val="16"/>
              </w:rPr>
              <w:t xml:space="preserve">Classification</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orders</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order_id, portfolio_id, customer_id, instrument_id (all UUIDs)</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orders</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symbol, exchange</w:t>
            </w:r>
          </w:p>
        </w:tc>
        <w:tc>
          <w:tcPr>
            <w:tcW w:type="dxa" w:w="3300"/>
            <w:tcBorders>
              <w:top w:val="single" w:color="CCCCCC" w:sz="1"/>
              <w:left w:val="single" w:color="CCCCCC" w:sz="1"/>
              <w:bottom w:val="single" w:color="CCCCCC" w:sz="1"/>
              <w:right w:val="single" w:color="CCCCCC" w:sz="1"/>
            </w:tcBorders>
            <w:shd w:fill="E8F5E9" w:val="clear"/>
            <w:tcMar>
              <w:top w:type="dxa" w:w="55"/>
              <w:left w:type="dxa" w:w="90"/>
              <w:bottom w:type="dxa" w:w="55"/>
              <w:right w:type="dxa" w:w="90"/>
            </w:tcMar>
          </w:tcPr>
          <w:p>
            <w:r>
              <w:rPr>
                <w:rFonts w:ascii="Arial" w:cs="Arial" w:eastAsia="Arial" w:hAnsi="Arial"/>
                <w:b/>
                <w:bCs/>
                <w:color w:val="2E7D32"/>
                <w:sz w:val="16"/>
                <w:szCs w:val="16"/>
              </w:rPr>
              <w:t xml:space="preserve">PUB</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orders</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side, quantity, order_type, limit_price, status</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orders</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ml_signal, ml_confidence, original_signal</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orders</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fill_price, fill_quantity, commission</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orders</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broker_order_id</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333333"/>
                <w:sz w:val="16"/>
                <w:szCs w:val="16"/>
              </w:rPr>
              <w:t xml:space="preserve">BOUNDARY — traceable to client account via IBKR</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orders</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error_message (if contains client name)</w:t>
            </w:r>
          </w:p>
        </w:tc>
        <w:tc>
          <w:tcPr>
            <w:tcW w:type="dxa" w:w="33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PII</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orders</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submitted_at, filled_at, cancelled_at, created_at, updated_at</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1A1A1A"/>
                <w:sz w:val="16"/>
                <w:szCs w:val="16"/>
              </w:rPr>
              <w:t xml:space="preserve">order_events</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order_id, status_from, status_to, created_at</w:t>
            </w:r>
          </w:p>
        </w:tc>
        <w:tc>
          <w:tcPr>
            <w:tcW w:type="dxa" w:w="33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PSEUDO</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1A1A"/>
                <w:sz w:val="16"/>
                <w:szCs w:val="16"/>
              </w:rPr>
              <w:t xml:space="preserve">order_events</w:t>
            </w:r>
          </w:p>
        </w:tc>
        <w:tc>
          <w:tcPr>
            <w:tcW w:type="dxa" w:w="3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event_data (JSONB) — AUDIT REQUIRED</w:t>
            </w:r>
          </w:p>
        </w:tc>
        <w:tc>
          <w:tcPr>
            <w:tcW w:type="dxa" w:w="33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bCs/>
                <w:color w:val="333333"/>
                <w:sz w:val="16"/>
                <w:szCs w:val="16"/>
              </w:rPr>
              <w:t xml:space="preserve">BOUNDARY — see P1 item in Section 7</w:t>
            </w:r>
          </w:p>
        </w:tc>
      </w:tr>
    </w:tbl>
    <w:p>
      <w:pPr>
        <w:pStyle w:val="Heading1"/>
        <w:pBdr>
          <w:bottom w:val="single" w:color="1A3A5C" w:sz="3" w:space="4"/>
        </w:pBdr>
        <w:spacing w:after="80" w:before="360"/>
      </w:pPr>
      <w:r>
        <w:rPr>
          <w:rFonts w:ascii="Arial" w:cs="Arial" w:eastAsia="Arial" w:hAnsi="Arial"/>
          <w:b/>
          <w:bCs/>
          <w:caps/>
          <w:color w:val="1A3A5C"/>
          <w:sz w:val="24"/>
          <w:szCs w:val="24"/>
        </w:rPr>
        <w:t xml:space="preserve">7 · Open Questions for the Development Team</w:t>
      </w:r>
    </w:p>
    <w:p>
      <w:pPr>
        <w:spacing w:after="50" w:before="50" w:line="318" w:lineRule="auto"/>
      </w:pPr>
      <w:r>
        <w:rPr>
          <w:rFonts w:ascii="Arial" w:cs="Arial" w:eastAsia="Arial" w:hAnsi="Arial"/>
          <w:b w:val="false"/>
          <w:bCs w:val="false"/>
          <w:i w:val="false"/>
          <w:iCs w:val="false"/>
          <w:color w:val="333333"/>
          <w:sz w:val="20"/>
          <w:szCs w:val="20"/>
        </w:rPr>
        <w:t xml:space="preserve">Questions are prioritised as: P1 (critical before any institutional deployment), P2 (required before production go-live), P3 (design decisions). Address in order.</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40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r>
              <w:rPr>
                <w:rFonts w:ascii="Arial" w:cs="Arial" w:eastAsia="Arial" w:hAnsi="Arial"/>
                <w:b/>
                <w:bCs/>
                <w:color w:val="FFFFFF"/>
                <w:sz w:val="16"/>
                <w:szCs w:val="16"/>
              </w:rPr>
              <w:t xml:space="preserve">Priority</w:t>
            </w:r>
          </w:p>
        </w:tc>
        <w:tc>
          <w:tcPr>
            <w:tcW w:type="dxa" w:w="2000"/>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r>
              <w:rPr>
                <w:rFonts w:ascii="Arial" w:cs="Arial" w:eastAsia="Arial" w:hAnsi="Arial"/>
                <w:b/>
                <w:bCs/>
                <w:color w:val="FFFFFF"/>
                <w:sz w:val="16"/>
                <w:szCs w:val="16"/>
              </w:rPr>
              <w:t xml:space="preserve">Component</w:t>
            </w:r>
          </w:p>
        </w:tc>
        <w:tc>
          <w:tcPr>
            <w:tcW w:type="dxa" w:w="3200"/>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r>
              <w:rPr>
                <w:rFonts w:ascii="Arial" w:cs="Arial" w:eastAsia="Arial" w:hAnsi="Arial"/>
                <w:b/>
                <w:bCs/>
                <w:color w:val="FFFFFF"/>
                <w:sz w:val="16"/>
                <w:szCs w:val="16"/>
              </w:rPr>
              <w:t xml:space="preserve">Question / Decision Required</w:t>
            </w:r>
          </w:p>
        </w:tc>
        <w:tc>
          <w:tcPr>
            <w:tcW w:type="dxa" w:w="2400"/>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r>
              <w:rPr>
                <w:rFonts w:ascii="Arial" w:cs="Arial" w:eastAsia="Arial" w:hAnsi="Arial"/>
                <w:b/>
                <w:bCs/>
                <w:color w:val="FFFFFF"/>
                <w:sz w:val="16"/>
                <w:szCs w:val="16"/>
              </w:rPr>
              <w:t xml:space="preserve">Current Status</w:t>
            </w:r>
          </w:p>
        </w:tc>
      </w:tr>
      <w:tr>
        <w:tc>
          <w:tcPr>
            <w:tcW w:type="dxa" w:w="12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P1</w:t>
            </w:r>
          </w:p>
        </w:tc>
        <w:tc>
          <w:tcPr>
            <w:tcW w:type="dxa" w:w="20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1A1A1A"/>
                <w:sz w:val="16"/>
                <w:szCs w:val="16"/>
              </w:rPr>
              <w:t xml:space="preserve">event_data JSONB audit</w:t>
            </w:r>
          </w:p>
        </w:tc>
        <w:tc>
          <w:tcPr>
            <w:tcW w:type="dxa" w:w="3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The order_events table stores event_data as JSONB. If this field contains customer names, portfolio names, or other identifying information as text strings, personal data is currently in the cloud without the protections this framework describes. Audit every event_data entry type immediately. This is a live potential PII exposure, not a future design question.</w:t>
            </w:r>
          </w:p>
        </w:tc>
        <w:tc>
          <w:tcPr>
            <w:tcW w:type="dxa" w:w="24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CRITICAL — audit before institutional deployment</w:t>
            </w:r>
          </w:p>
        </w:tc>
      </w:tr>
      <w:tr>
        <w:tc>
          <w:tcPr>
            <w:tcW w:type="dxa" w:w="12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1A1A"/>
                <w:sz w:val="16"/>
                <w:szCs w:val="16"/>
              </w:rPr>
              <w:t xml:space="preserve">Slack notifications audit</w:t>
            </w:r>
          </w:p>
        </w:tc>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The platform sends Slack notifications of trade signals, orders, and portfolio activity. Do these notifications contain customer names, portfolio names, or other identifying information? If so, Slack is a PII exposure channel outside the cloud architecture. The identity vault model does not address Slack.</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CRITICAL — audit before institutional deployment</w:t>
            </w:r>
          </w:p>
        </w:tc>
      </w:tr>
      <w:tr>
        <w:tc>
          <w:tcPr>
            <w:tcW w:type="dxa" w:w="12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P1</w:t>
            </w:r>
          </w:p>
        </w:tc>
        <w:tc>
          <w:tcPr>
            <w:tcW w:type="dxa" w:w="20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1A1A1A"/>
                <w:sz w:val="16"/>
                <w:szCs w:val="16"/>
              </w:rPr>
              <w:t xml:space="preserve">error_message field audit</w:t>
            </w:r>
          </w:p>
        </w:tc>
        <w:tc>
          <w:tcPr>
            <w:tcW w:type="dxa" w:w="3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The orders table contains an error_message field. Audit whether this field currently stores customer names or other PII as text. If so, this is a live PII exposure in the cloud alongside event_data JSONB. Remediate before institutional deployment.</w:t>
            </w:r>
          </w:p>
        </w:tc>
        <w:tc>
          <w:tcPr>
            <w:tcW w:type="dxa" w:w="24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CRITICAL — audit before institutional deployment</w:t>
            </w:r>
          </w:p>
        </w:tc>
      </w:tr>
      <w:tr>
        <w:tc>
          <w:tcPr>
            <w:tcW w:type="dxa" w:w="12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1A1A"/>
                <w:sz w:val="16"/>
                <w:szCs w:val="16"/>
              </w:rPr>
              <w:t xml:space="preserve">AWS service outputs audit</w:t>
            </w:r>
          </w:p>
        </w:tc>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Audit all AWS service outputs for PII or identifiable portfolio data content: (a) SageMaker inference calls — confirm no customer_id, portfolio_id, or PII attribute is included; (b) CloudWatch logs — confirm no PII or UUID+instrument+timestamp combinations that could identify a client; (c) SQS message bodies — confirm contents; (d) SNS notification payloads — confirm contents; (e) EventBridge event payloads — confirm contents. Scope of audit is all AWS services that receive or log data about platform operations.</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Needs immediate confirmation — audit before institutional deployment</w:t>
            </w:r>
          </w:p>
        </w:tc>
      </w:tr>
      <w:tr>
        <w:tc>
          <w:tcPr>
            <w:tcW w:type="dxa" w:w="1200"/>
            <w:tcBorders>
              <w:top w:val="single" w:color="CCCCCC" w:sz="1"/>
              <w:left w:val="single" w:color="CCCCCC" w:sz="1"/>
              <w:bottom w:val="single" w:color="CCCCCC" w:sz="1"/>
              <w:right w:val="single" w:color="CCCCCC" w:sz="1"/>
            </w:tcBorders>
            <w:shd w:fill="FFEBEE" w:val="clear"/>
            <w:tcMar>
              <w:top w:type="dxa" w:w="55"/>
              <w:left w:type="dxa" w:w="90"/>
              <w:bottom w:type="dxa" w:w="55"/>
              <w:right w:type="dxa" w:w="90"/>
            </w:tcMar>
          </w:tcPr>
          <w:p>
            <w:r>
              <w:rPr>
                <w:rFonts w:ascii="Arial" w:cs="Arial" w:eastAsia="Arial" w:hAnsi="Arial"/>
                <w:b/>
                <w:bCs/>
                <w:color w:val="C62828"/>
                <w:sz w:val="16"/>
                <w:szCs w:val="16"/>
              </w:rPr>
              <w:t xml:space="preserve">P1</w:t>
            </w:r>
          </w:p>
        </w:tc>
        <w:tc>
          <w:tcPr>
            <w:tcW w:type="dxa" w:w="20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1A1A1A"/>
                <w:sz w:val="16"/>
                <w:szCs w:val="16"/>
              </w:rPr>
              <w:t xml:space="preserve">DPA template production</w:t>
            </w:r>
          </w:p>
        </w:tc>
        <w:tc>
          <w:tcPr>
            <w:tcW w:type="dxa" w:w="3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The Vektor : Boutique standard cloud model requires a Data Processing Agreement with every client. This document does not exist. It must be produced and reviewed by Singapore and Swiss counsel before any boutique distribution in those jurisdictions.</w:t>
            </w:r>
          </w:p>
        </w:tc>
        <w:tc>
          <w:tcPr>
            <w:tcW w:type="dxa" w:w="24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Not started — blocks distribution</w:t>
            </w:r>
          </w:p>
        </w:tc>
      </w:tr>
      <w:tr>
        <w:tc>
          <w:tcPr>
            <w:tcW w:type="dxa" w:w="12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1A1A"/>
                <w:sz w:val="16"/>
                <w:szCs w:val="16"/>
              </w:rPr>
              <w:t xml:space="preserve">broker_order_id legal assessment</w:t>
            </w:r>
          </w:p>
        </w:tc>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The orders table broker_order_id is classified as BOUNDARY because IBKR order references may be traceable to the real client account if InvestPuppy is compelled to disclose them. This is a legal question, not a technical audit. Commission with Singapore and/or UK counsel as part of the BOUNDARY field classification review.</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Legal assessment required</w:t>
            </w:r>
          </w:p>
        </w:tc>
      </w:tr>
      <w:tr>
        <w:tc>
          <w:tcPr>
            <w:tcW w:type="dxa" w:w="12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P2</w:t>
            </w:r>
          </w:p>
        </w:tc>
        <w:tc>
          <w:tcPr>
            <w:tcW w:type="dxa" w:w="20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1A1A1A"/>
                <w:sz w:val="16"/>
                <w:szCs w:val="16"/>
              </w:rPr>
              <w:t xml:space="preserve">UUID generation in hybrid model</w:t>
            </w:r>
          </w:p>
        </w:tc>
        <w:tc>
          <w:tcPr>
            <w:tcW w:type="dxa" w:w="3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Who generates the UUID in the hybrid model — client on-prem system or InvestPuppy cloud? Client-side generation provides stronger separation assurance. Cloud-side simplifies onboarding.</w:t>
            </w:r>
          </w:p>
        </w:tc>
        <w:tc>
          <w:tcPr>
            <w:tcW w:type="dxa" w:w="24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Open decision</w:t>
            </w:r>
          </w:p>
        </w:tc>
      </w:tr>
      <w:tr>
        <w:tc>
          <w:tcPr>
            <w:tcW w:type="dxa" w:w="12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1A1A"/>
                <w:sz w:val="16"/>
                <w:szCs w:val="16"/>
              </w:rPr>
              <w:t xml:space="preserve">Identity vault technology</w:t>
            </w:r>
          </w:p>
        </w:tc>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What technology should the on-premises identity vault use? Options: PostgreSQL with encryption at rest, HashiCorp Vault, Redis encrypted, purpose-built key-value store. Factors: client IT capabilities, security requirements, operational simplicity.</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Open decision</w:t>
            </w:r>
          </w:p>
        </w:tc>
      </w:tr>
      <w:tr>
        <w:tc>
          <w:tcPr>
            <w:tcW w:type="dxa" w:w="12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P2</w:t>
            </w:r>
          </w:p>
        </w:tc>
        <w:tc>
          <w:tcPr>
            <w:tcW w:type="dxa" w:w="20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1A1A1A"/>
                <w:sz w:val="16"/>
                <w:szCs w:val="16"/>
              </w:rPr>
              <w:t xml:space="preserve">Vault API interface</w:t>
            </w:r>
          </w:p>
        </w:tc>
        <w:tc>
          <w:tcPr>
            <w:tcW w:type="dxa" w:w="3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Interface between the identity vault and InvestPuppy’s cloud: UUID lookup, UUID registration, UUID revocation. Should this be an OpenWealth endpoint or a custom API? Must satisfy the minimum security specification in Section 3.3.</w:t>
            </w:r>
          </w:p>
        </w:tc>
        <w:tc>
          <w:tcPr>
            <w:tcW w:type="dxa" w:w="24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Open decision</w:t>
            </w:r>
          </w:p>
        </w:tc>
      </w:tr>
      <w:tr>
        <w:tc>
          <w:tcPr>
            <w:tcW w:type="dxa" w:w="12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1A1A"/>
                <w:sz w:val="16"/>
                <w:szCs w:val="16"/>
              </w:rPr>
              <w:t xml:space="preserve">Admin portal architecture in hybrid model</w:t>
            </w:r>
          </w:p>
        </w:tc>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Name display in admin portal currently reads from customer_master in cloud. In hybrid model, name display requires round-trip to identity vault. Design options: (a) client-side portal rendering, (b) vault-side proxy. What is the latency impact and preferred architecture?</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Open decision</w:t>
            </w:r>
          </w:p>
        </w:tc>
      </w:tr>
      <w:tr>
        <w:tc>
          <w:tcPr>
            <w:tcW w:type="dxa" w:w="12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P2</w:t>
            </w:r>
          </w:p>
        </w:tc>
        <w:tc>
          <w:tcPr>
            <w:tcW w:type="dxa" w:w="20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1A1A1A"/>
                <w:sz w:val="16"/>
                <w:szCs w:val="16"/>
              </w:rPr>
              <w:t xml:space="preserve">portfolio_name enforcement</w:t>
            </w:r>
          </w:p>
        </w:tc>
        <w:tc>
          <w:tcPr>
            <w:tcW w:type="dxa" w:w="3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If a client names a portfolio with a client-identifying term, portfolio_name becomes PII. Options: (a) enforce a naming convention that prevents identifying terms, (b) move portfolio_name to the identity vault in the hybrid model. Which is preferred?</w:t>
            </w:r>
          </w:p>
        </w:tc>
        <w:tc>
          <w:tcPr>
            <w:tcW w:type="dxa" w:w="24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Open decision</w:t>
            </w:r>
          </w:p>
        </w:tc>
      </w:tr>
      <w:tr>
        <w:tc>
          <w:tcPr>
            <w:tcW w:type="dxa" w:w="12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1A1A"/>
                <w:sz w:val="16"/>
                <w:szCs w:val="16"/>
              </w:rPr>
              <w:t xml:space="preserve">Classification column in DATA-MODEL-overview</w:t>
            </w:r>
          </w:p>
        </w:tc>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Add PUB / PROP / PSEUDO / PII / BOUNDARY classification column to every field in DATA-MODEL-overview. This is a documentation task but requires development team confirmation on ambiguous fields (especially event_data and any future JSONB fields).</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Documentation task</w:t>
            </w:r>
          </w:p>
        </w:tc>
      </w:tr>
      <w:tr>
        <w:tc>
          <w:tcPr>
            <w:tcW w:type="dxa" w:w="1200"/>
            <w:tcBorders>
              <w:top w:val="single" w:color="CCCCCC" w:sz="1"/>
              <w:left w:val="single" w:color="CCCCCC" w:sz="1"/>
              <w:bottom w:val="single" w:color="CCCCCC" w:sz="1"/>
              <w:right w:val="single" w:color="CCCCCC" w:sz="1"/>
            </w:tcBorders>
            <w:shd w:fill="FFF3E0" w:val="clear"/>
            <w:tcMar>
              <w:top w:type="dxa" w:w="55"/>
              <w:left w:type="dxa" w:w="90"/>
              <w:bottom w:type="dxa" w:w="55"/>
              <w:right w:type="dxa" w:w="90"/>
            </w:tcMar>
          </w:tcPr>
          <w:p>
            <w:r>
              <w:rPr>
                <w:rFonts w:ascii="Arial" w:cs="Arial" w:eastAsia="Arial" w:hAnsi="Arial"/>
                <w:b/>
                <w:bCs/>
                <w:color w:val="E65100"/>
                <w:sz w:val="16"/>
                <w:szCs w:val="16"/>
              </w:rPr>
              <w:t xml:space="preserve">P2</w:t>
            </w:r>
          </w:p>
        </w:tc>
        <w:tc>
          <w:tcPr>
            <w:tcW w:type="dxa" w:w="20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1A1A1A"/>
                <w:sz w:val="16"/>
                <w:szCs w:val="16"/>
              </w:rPr>
              <w:t xml:space="preserve">Encryption at rest — pseudonymised data</w:t>
            </w:r>
          </w:p>
        </w:tc>
        <w:tc>
          <w:tcPr>
            <w:tcW w:type="dxa" w:w="3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Pseudonymised data is lower risk than PII. Is encryption at rest required for cloud-held pseudonymised data? Answer: not legally required under the pseudonymisation model, but best practice and expected by institutional clients in due diligence.</w:t>
            </w:r>
          </w:p>
        </w:tc>
        <w:tc>
          <w:tcPr>
            <w:tcW w:type="dxa" w:w="24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Architecture decision</w:t>
            </w:r>
          </w:p>
        </w:tc>
      </w:tr>
      <w:tr>
        <w:tc>
          <w:tcPr>
            <w:tcW w:type="dxa" w:w="1200"/>
            <w:tcBorders>
              <w:top w:val="single" w:color="CCCCCC" w:sz="1"/>
              <w:left w:val="single" w:color="CCCCCC" w:sz="1"/>
              <w:bottom w:val="single" w:color="CCCCCC" w:sz="1"/>
              <w:right w:val="single" w:color="CCCCCC" w:sz="1"/>
            </w:tcBorders>
            <w:shd w:fill="E3F2FD" w:val="clear"/>
            <w:tcMar>
              <w:top w:type="dxa" w:w="55"/>
              <w:left w:type="dxa" w:w="90"/>
              <w:bottom w:type="dxa" w:w="55"/>
              <w:right w:type="dxa" w:w="90"/>
            </w:tcMar>
          </w:tcPr>
          <w:p>
            <w:r>
              <w:rPr>
                <w:rFonts w:ascii="Arial" w:cs="Arial" w:eastAsia="Arial" w:hAnsi="Arial"/>
                <w:b/>
                <w:bCs/>
                <w:color w:val="1A3A5C"/>
                <w:sz w:val="16"/>
                <w:szCs w:val="16"/>
              </w:rPr>
              <w:t xml:space="preserve">P3</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A1A1A"/>
                <w:sz w:val="16"/>
                <w:szCs w:val="16"/>
              </w:rPr>
              <w:t xml:space="preserve">New field governance process</w:t>
            </w:r>
          </w:p>
        </w:tc>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Define the approval workflow for classifying new fields before production deployment. Who decides? What documentation is required? The classification policy must be maintained as the data model evolves.</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333333"/>
                <w:sz w:val="16"/>
                <w:szCs w:val="16"/>
              </w:rPr>
              <w:t xml:space="preserve">Process design</w:t>
            </w:r>
          </w:p>
        </w:tc>
      </w:tr>
      <w:tr>
        <w:tc>
          <w:tcPr>
            <w:tcW w:type="dxa" w:w="1200"/>
            <w:tcBorders>
              <w:top w:val="single" w:color="CCCCCC" w:sz="1"/>
              <w:left w:val="single" w:color="CCCCCC" w:sz="1"/>
              <w:bottom w:val="single" w:color="CCCCCC" w:sz="1"/>
              <w:right w:val="single" w:color="CCCCCC" w:sz="1"/>
            </w:tcBorders>
            <w:shd w:fill="E3F2FD" w:val="clear"/>
            <w:tcMar>
              <w:top w:type="dxa" w:w="55"/>
              <w:left w:type="dxa" w:w="90"/>
              <w:bottom w:type="dxa" w:w="55"/>
              <w:right w:type="dxa" w:w="90"/>
            </w:tcMar>
          </w:tcPr>
          <w:p>
            <w:r>
              <w:rPr>
                <w:rFonts w:ascii="Arial" w:cs="Arial" w:eastAsia="Arial" w:hAnsi="Arial"/>
                <w:b/>
                <w:bCs/>
                <w:color w:val="1A3A5C"/>
                <w:sz w:val="16"/>
                <w:szCs w:val="16"/>
              </w:rPr>
              <w:t xml:space="preserve">P3</w:t>
            </w:r>
          </w:p>
        </w:tc>
        <w:tc>
          <w:tcPr>
            <w:tcW w:type="dxa" w:w="20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1A1A1A"/>
                <w:sz w:val="16"/>
                <w:szCs w:val="16"/>
              </w:rPr>
              <w:t xml:space="preserve">Strategy data aggregate use</w:t>
            </w:r>
          </w:p>
        </w:tc>
        <w:tc>
          <w:tcPr>
            <w:tcW w:type="dxa" w:w="32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Can InvestPuppy use aggregated anonymised strategy data across clients for ML model improvement or research? This is a contractual scope question. The subscription agreement must either permit or prohibit this use explicitly.</w:t>
            </w:r>
          </w:p>
        </w:tc>
        <w:tc>
          <w:tcPr>
            <w:tcW w:type="dxa" w:w="2400"/>
            <w:tcBorders>
              <w:top w:val="single" w:color="CCCCCC" w:sz="1"/>
              <w:left w:val="single" w:color="CCCCCC" w:sz="1"/>
              <w:bottom w:val="single" w:color="CCCCCC" w:sz="1"/>
              <w:right w:val="single" w:color="CCCCCC" w:sz="1"/>
            </w:tcBorders>
            <w:shd w:fill="FDF9F2" w:val="clear"/>
            <w:tcMar>
              <w:top w:type="dxa" w:w="55"/>
              <w:left w:type="dxa" w:w="90"/>
              <w:bottom w:type="dxa" w:w="55"/>
              <w:right w:type="dxa" w:w="90"/>
            </w:tcMar>
          </w:tcPr>
          <w:p>
            <w:r>
              <w:rPr>
                <w:rFonts w:ascii="Arial" w:cs="Arial" w:eastAsia="Arial" w:hAnsi="Arial"/>
                <w:b w:val="false"/>
                <w:bCs w:val="false"/>
                <w:color w:val="333333"/>
                <w:sz w:val="16"/>
                <w:szCs w:val="16"/>
              </w:rPr>
              <w:t xml:space="preserve">Legal and commercial decision</w:t>
            </w:r>
          </w:p>
        </w:tc>
      </w:tr>
    </w:tbl>
    <w:p>
      <w:pPr>
        <w:pStyle w:val="Heading1"/>
        <w:pBdr>
          <w:bottom w:val="single" w:color="1A3A5C" w:sz="3" w:space="4"/>
        </w:pBdr>
        <w:spacing w:after="80" w:before="360"/>
      </w:pPr>
      <w:r>
        <w:rPr>
          <w:rFonts w:ascii="Arial" w:cs="Arial" w:eastAsia="Arial" w:hAnsi="Arial"/>
          <w:b/>
          <w:bCs/>
          <w:caps/>
          <w:color w:val="1A3A5C"/>
          <w:sz w:val="24"/>
          <w:szCs w:val="24"/>
        </w:rPr>
        <w:t xml:space="preserve">8 · Pending Legal Reviews</w:t>
      </w:r>
    </w:p>
    <w:p>
      <w:pPr>
        <w:spacing w:after="50" w:before="50" w:line="318" w:lineRule="auto"/>
      </w:pPr>
      <w:r>
        <w:rPr>
          <w:rFonts w:ascii="Arial" w:cs="Arial" w:eastAsia="Arial" w:hAnsi="Arial"/>
          <w:b w:val="false"/>
          <w:bCs w:val="false"/>
          <w:i w:val="false"/>
          <w:iCs w:val="false"/>
          <w:color w:val="333333"/>
          <w:sz w:val="20"/>
          <w:szCs w:val="20"/>
        </w:rPr>
        <w:t xml:space="preserve">All positions in this document are InvestPuppy’s internal assessment only. The following opinions are required before any position is used in commercial documentation, regulatory submissions, or institutional due diligence materials.</w:t>
      </w:r>
    </w:p>
    <w:p>
      <w:pPr>
        <w:spacing w:after="0" w:before="60"/>
      </w:pP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Singapore — Priority 1:</w:t>
      </w:r>
      <w:r>
        <w:rPr>
          <w:rFonts w:ascii="Arial" w:cs="Arial" w:eastAsia="Arial" w:hAnsi="Arial"/>
          <w:b w:val="false"/>
          <w:bCs w:val="false"/>
          <w:i w:val="false"/>
          <w:iCs w:val="false"/>
          <w:color w:val="333333"/>
          <w:sz w:val="20"/>
          <w:szCs w:val="20"/>
        </w:rPr>
        <w:t xml:space="preserve"> (a) PDPA classification of pseudonymised portfolio data against the broader ‘organisation access’ definition in PDPA s2; (b) DPA template review for Vektor : Boutique; (c) MAS TRM vendor classification implications of the pseudonymised model; (d) BOUNDARY field classifications (kyc_status, risk_profile). Commission alongside Singapore regulatory compliance matrix review.</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Switzerland — Priority 1:</w:t>
      </w:r>
      <w:r>
        <w:rPr>
          <w:rFonts w:ascii="Arial" w:cs="Arial" w:eastAsia="Arial" w:hAnsi="Arial"/>
          <w:b w:val="false"/>
          <w:bCs w:val="false"/>
          <w:i w:val="false"/>
          <w:iCs w:val="false"/>
          <w:color w:val="333333"/>
          <w:sz w:val="20"/>
          <w:szCs w:val="20"/>
        </w:rPr>
        <w:t xml:space="preserve"> (a) nDSG Article 5(e) pseudonymisation applicability; (b) nDSG article numbering verification; (c) DPA template review for Vektor : Boutique; (d) FinIA outsourcing classification; (e) Bankgeheimnis implications of the standard cloud model for boutique clients. Commission alongside Swiss regulatory compliance matrix review.</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UK — Separate workstream:</w:t>
      </w:r>
      <w:r>
        <w:rPr>
          <w:rFonts w:ascii="Arial" w:cs="Arial" w:eastAsia="Arial" w:hAnsi="Arial"/>
          <w:b w:val="false"/>
          <w:bCs w:val="false"/>
          <w:i w:val="false"/>
          <w:iCs w:val="false"/>
          <w:color w:val="333333"/>
          <w:sz w:val="20"/>
          <w:szCs w:val="20"/>
        </w:rPr>
        <w:t xml:space="preserve"> (a) UK GDPR pseudonymisation position; (b) FCA regulated activity status (this is UK-01 already in the outstanding register); (c) Singapore’s UK adequacy status; (d) DPA template review for Vektor : Boutique UK clients. Note: the UK DPA template and the UK-01 FCA opinion must be coordinated — the DPA for UK boutique clients must address both UK GDPR processor obligations and FCA operational resilience and outsourcing requirements under SYSC 8 and SYSC 13. Commission post-raise, coordinating both workstreams.</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UAE/DIFC:</w:t>
      </w:r>
      <w:r>
        <w:rPr>
          <w:rFonts w:ascii="Arial" w:cs="Arial" w:eastAsia="Arial" w:hAnsi="Arial"/>
          <w:b w:val="false"/>
          <w:bCs w:val="false"/>
          <w:i w:val="false"/>
          <w:iCs w:val="false"/>
          <w:color w:val="333333"/>
          <w:sz w:val="20"/>
          <w:szCs w:val="20"/>
        </w:rPr>
        <w:t xml:space="preserve"> (a) DIFC DPL pseudonymisation position; (b) AWS me-central-1 adequacy for DIFC data residency; (c) whether hybrid model eliminates Data Processing Contract requirement; (d) ADGM DPR analysis when ADGM prospects are identified. Commission when first DIFC institutional conversation is in progress.</w:t>
      </w:r>
    </w:p>
    <w:p>
      <w:pPr>
        <w:pStyle w:val="ListParagraph"/>
        <w:numPr>
          <w:ilvl w:val="0"/>
          <w:numId w:val="2"/>
        </w:numPr>
        <w:spacing w:after="55" w:before="55" w:line="295" w:lineRule="auto"/>
      </w:pPr>
      <w:r>
        <w:rPr>
          <w:rFonts w:ascii="Arial" w:cs="Arial" w:eastAsia="Arial" w:hAnsi="Arial"/>
          <w:b/>
          <w:bCs/>
          <w:i w:val="false"/>
          <w:iCs w:val="false"/>
          <w:color w:val="1A1A1A"/>
          <w:sz w:val="20"/>
          <w:szCs w:val="20"/>
        </w:rPr>
        <w:t xml:space="preserve">Saudi Arabia:</w:t>
      </w:r>
      <w:r>
        <w:rPr>
          <w:rFonts w:ascii="Arial" w:cs="Arial" w:eastAsia="Arial" w:hAnsi="Arial"/>
          <w:b w:val="false"/>
          <w:bCs w:val="false"/>
          <w:i w:val="false"/>
          <w:iCs w:val="false"/>
          <w:color w:val="333333"/>
          <w:sz w:val="20"/>
          <w:szCs w:val="20"/>
        </w:rPr>
        <w:t xml:space="preserve"> (a) PDPL localisation requirements for pseudonymised data; (b) SAMA tier classification; (c) AWS Saudi region status and timeline. Commission when Saudi Arabia enters the near-term market plan.</w:t>
      </w:r>
    </w:p>
    <w:p>
      <w:pPr>
        <w:pStyle w:val="Heading1"/>
        <w:pBdr>
          <w:bottom w:val="single" w:color="1A3A5C" w:sz="3" w:space="4"/>
        </w:pBdr>
        <w:spacing w:after="80" w:before="360"/>
      </w:pPr>
      <w:r>
        <w:rPr>
          <w:rFonts w:ascii="Arial" w:cs="Arial" w:eastAsia="Arial" w:hAnsi="Arial"/>
          <w:b/>
          <w:bCs/>
          <w:caps/>
          <w:color w:val="1A3A5C"/>
          <w:sz w:val="24"/>
          <w:szCs w:val="24"/>
        </w:rPr>
        <w:t xml:space="preserve">9 · Action Summary for Development Team</w:t>
      </w:r>
    </w:p>
    <w:p>
      <w:pPr>
        <w:spacing w:after="50" w:before="50" w:line="318" w:lineRule="auto"/>
      </w:pPr>
      <w:r>
        <w:rPr>
          <w:rFonts w:ascii="Arial" w:cs="Arial" w:eastAsia="Arial" w:hAnsi="Arial"/>
          <w:b w:val="false"/>
          <w:bCs w:val="false"/>
          <w:i w:val="false"/>
          <w:iCs w:val="false"/>
          <w:color w:val="333333"/>
          <w:sz w:val="20"/>
          <w:szCs w:val="20"/>
        </w:rPr>
        <w:t xml:space="preserve">The P1 items below require attention before any institutional deployment begins. If you are reading this document as a developer, start here before reading the full analysis.</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The P1 items below require attention before any institutional deployment begins. If you are reading this document as a developer, address Section 9 P1 items before reading the full analysis.</w:t>
      </w:r>
    </w:p>
    <w:p>
      <w:pPr>
        <w:spacing w:after="0" w:before="60"/>
      </w:pPr>
    </w:p>
    <w:p>
      <w:pPr>
        <w:spacing w:after="50" w:before="50" w:line="318" w:lineRule="auto"/>
      </w:pPr>
      <w:r>
        <w:rPr>
          <w:rFonts w:ascii="Arial" w:cs="Arial" w:eastAsia="Arial" w:hAnsi="Arial"/>
          <w:b w:val="false"/>
          <w:bCs w:val="false"/>
          <w:i w:val="false"/>
          <w:iCs w:val="false"/>
          <w:color w:val="333333"/>
          <w:sz w:val="20"/>
          <w:szCs w:val="20"/>
        </w:rPr>
        <w:t xml:space="preserve">Prioritised actions in sequence. Complete P1 items before any institutional deployment.</w:t>
      </w:r>
    </w:p>
    <w:p>
      <w:pPr>
        <w:spacing w:after="0" w:before="60"/>
      </w:pPr>
    </w:p>
    <w:p>
      <w:pPr>
        <w:pStyle w:val="Heading2"/>
        <w:spacing w:after="60" w:before="240"/>
      </w:pPr>
      <w:r>
        <w:rPr>
          <w:rFonts w:ascii="Arial" w:cs="Arial" w:eastAsia="Arial" w:hAnsi="Arial"/>
          <w:b/>
          <w:bCs/>
          <w:color w:val="1A1A1A"/>
          <w:sz w:val="21"/>
          <w:szCs w:val="21"/>
        </w:rPr>
        <w:t xml:space="preserve">P1 — Critical: Before Any Institutional Deployment</w:t>
      </w:r>
    </w:p>
    <w:p>
      <w:pPr>
        <w:pStyle w:val="ListParagraph"/>
        <w:numPr>
          <w:ilvl w:val="0"/>
          <w:numId w:val="3"/>
        </w:numPr>
        <w:spacing w:after="55" w:before="55" w:line="295" w:lineRule="auto"/>
      </w:pPr>
      <w:r>
        <w:rPr>
          <w:rFonts w:ascii="Arial" w:cs="Arial" w:eastAsia="Arial" w:hAnsi="Arial"/>
          <w:b/>
          <w:bCs/>
          <w:color w:val="1A1A1A"/>
          <w:sz w:val="20"/>
          <w:szCs w:val="20"/>
        </w:rPr>
        <w:t xml:space="preserve">Audit event_data JSONB and error_message.</w:t>
      </w:r>
      <w:r>
        <w:rPr>
          <w:rFonts w:ascii="Arial" w:cs="Arial" w:eastAsia="Arial" w:hAnsi="Arial"/>
          <w:b w:val="false"/>
          <w:bCs w:val="false"/>
          <w:color w:val="333333"/>
          <w:sz w:val="20"/>
          <w:szCs w:val="20"/>
        </w:rPr>
        <w:t xml:space="preserve"> Check every event_data entry type in order_events and the error_message field in orders for PII content. If any contain customer or portfolio names as text, this is a live PII exposure requiring immediate remediation.</w:t>
      </w:r>
    </w:p>
    <w:p>
      <w:pPr>
        <w:pStyle w:val="ListParagraph"/>
        <w:numPr>
          <w:ilvl w:val="0"/>
          <w:numId w:val="3"/>
        </w:numPr>
        <w:spacing w:after="55" w:before="55" w:line="295" w:lineRule="auto"/>
      </w:pPr>
      <w:r>
        <w:rPr>
          <w:rFonts w:ascii="Arial" w:cs="Arial" w:eastAsia="Arial" w:hAnsi="Arial"/>
          <w:b/>
          <w:bCs/>
          <w:color w:val="1A1A1A"/>
          <w:sz w:val="20"/>
          <w:szCs w:val="20"/>
        </w:rPr>
        <w:t xml:space="preserve">Audit Slack notifications.</w:t>
      </w:r>
      <w:r>
        <w:rPr>
          <w:rFonts w:ascii="Arial" w:cs="Arial" w:eastAsia="Arial" w:hAnsi="Arial"/>
          <w:b w:val="false"/>
          <w:bCs w:val="false"/>
          <w:color w:val="333333"/>
          <w:sz w:val="20"/>
          <w:szCs w:val="20"/>
        </w:rPr>
        <w:t xml:space="preserve"> Confirm whether trade signal, order status, or portfolio activity notifications contain customer names or other PII. If yes, remediate before institutional deployment.</w:t>
      </w:r>
    </w:p>
    <w:p>
      <w:pPr>
        <w:pStyle w:val="ListParagraph"/>
        <w:numPr>
          <w:ilvl w:val="0"/>
          <w:numId w:val="3"/>
        </w:numPr>
        <w:spacing w:after="55" w:before="55" w:line="295" w:lineRule="auto"/>
      </w:pPr>
      <w:r>
        <w:rPr>
          <w:rFonts w:ascii="Arial" w:cs="Arial" w:eastAsia="Arial" w:hAnsi="Arial"/>
          <w:b/>
          <w:bCs/>
          <w:color w:val="1A1A1A"/>
          <w:sz w:val="20"/>
          <w:szCs w:val="20"/>
        </w:rPr>
        <w:t xml:space="preserve">Audit all AWS service outputs.</w:t>
      </w:r>
      <w:r>
        <w:rPr>
          <w:rFonts w:ascii="Arial" w:cs="Arial" w:eastAsia="Arial" w:hAnsi="Arial"/>
          <w:b w:val="false"/>
          <w:bCs w:val="false"/>
          <w:color w:val="333333"/>
          <w:sz w:val="20"/>
          <w:szCs w:val="20"/>
        </w:rPr>
        <w:t xml:space="preserve"> Verify that no SageMaker inference call, CloudWatch log, SQS message body, SNS payload, or EventBridge event includes customer_id, portfolio_id, or any PII attribute.</w:t>
      </w:r>
    </w:p>
    <w:p>
      <w:pPr>
        <w:pStyle w:val="ListParagraph"/>
        <w:numPr>
          <w:ilvl w:val="0"/>
          <w:numId w:val="3"/>
        </w:numPr>
        <w:spacing w:after="55" w:before="55" w:line="295" w:lineRule="auto"/>
      </w:pPr>
      <w:r>
        <w:rPr>
          <w:rFonts w:ascii="Arial" w:cs="Arial" w:eastAsia="Arial" w:hAnsi="Arial"/>
          <w:b/>
          <w:bCs/>
          <w:color w:val="1A1A1A"/>
          <w:sz w:val="20"/>
          <w:szCs w:val="20"/>
        </w:rPr>
        <w:t xml:space="preserve">Produce DPA template.</w:t>
      </w:r>
      <w:r>
        <w:rPr>
          <w:rFonts w:ascii="Arial" w:cs="Arial" w:eastAsia="Arial" w:hAnsi="Arial"/>
          <w:b w:val="false"/>
          <w:bCs w:val="false"/>
          <w:color w:val="333333"/>
          <w:sz w:val="20"/>
          <w:szCs w:val="20"/>
        </w:rPr>
        <w:t xml:space="preserve"> The Vektor : Boutique standard cloud model cannot distribute without a Data Processing Agreement. Commission counsel in Singapore and Switzerland to produce and review a standard template.</w:t>
      </w:r>
    </w:p>
    <w:p>
      <w:pPr>
        <w:spacing w:after="0" w:before="80"/>
      </w:pPr>
    </w:p>
    <w:p>
      <w:pPr>
        <w:pStyle w:val="Heading2"/>
        <w:spacing w:after="60" w:before="240"/>
      </w:pPr>
      <w:r>
        <w:rPr>
          <w:rFonts w:ascii="Arial" w:cs="Arial" w:eastAsia="Arial" w:hAnsi="Arial"/>
          <w:b/>
          <w:bCs/>
          <w:color w:val="1A1A1A"/>
          <w:sz w:val="21"/>
          <w:szCs w:val="21"/>
        </w:rPr>
        <w:t xml:space="preserve">P2 — Required: Before Production Go-Live</w:t>
      </w:r>
    </w:p>
    <w:p>
      <w:pPr>
        <w:pStyle w:val="ListParagraph"/>
        <w:numPr>
          <w:ilvl w:val="0"/>
          <w:numId w:val="3"/>
        </w:numPr>
        <w:spacing w:after="55" w:before="55" w:line="295" w:lineRule="auto"/>
      </w:pPr>
      <w:r>
        <w:rPr>
          <w:rFonts w:ascii="Arial" w:cs="Arial" w:eastAsia="Arial" w:hAnsi="Arial"/>
          <w:b/>
          <w:bCs/>
          <w:color w:val="1A1A1A"/>
          <w:sz w:val="20"/>
          <w:szCs w:val="20"/>
        </w:rPr>
        <w:t xml:space="preserve">Add classification column to DATA-MODEL-overview.</w:t>
      </w:r>
      <w:r>
        <w:rPr>
          <w:rFonts w:ascii="Arial" w:cs="Arial" w:eastAsia="Arial" w:hAnsi="Arial"/>
          <w:b w:val="false"/>
          <w:bCs w:val="false"/>
          <w:color w:val="333333"/>
          <w:sz w:val="20"/>
          <w:szCs w:val="20"/>
        </w:rPr>
        <w:t xml:space="preserve"> PUB / PROP / PSEUDO / PII / BOUNDARY for every field. Resolve BOUNDARY cases with counsel.</w:t>
      </w:r>
    </w:p>
    <w:p>
      <w:pPr>
        <w:pStyle w:val="ListParagraph"/>
        <w:numPr>
          <w:ilvl w:val="0"/>
          <w:numId w:val="3"/>
        </w:numPr>
        <w:spacing w:after="55" w:before="55" w:line="295" w:lineRule="auto"/>
      </w:pPr>
      <w:r>
        <w:rPr>
          <w:rFonts w:ascii="Arial" w:cs="Arial" w:eastAsia="Arial" w:hAnsi="Arial"/>
          <w:b/>
          <w:bCs/>
          <w:color w:val="1A1A1A"/>
          <w:sz w:val="20"/>
          <w:szCs w:val="20"/>
        </w:rPr>
        <w:t xml:space="preserve">Design the identity vault architecture.</w:t>
      </w:r>
      <w:r>
        <w:rPr>
          <w:rFonts w:ascii="Arial" w:cs="Arial" w:eastAsia="Arial" w:hAnsi="Arial"/>
          <w:b w:val="false"/>
          <w:bCs w:val="false"/>
          <w:color w:val="333333"/>
          <w:sz w:val="20"/>
          <w:szCs w:val="20"/>
        </w:rPr>
        <w:t xml:space="preserve"> Resolve UUID generation, vault technology, and vault API interface. Document minimum security specification compliance.</w:t>
      </w:r>
    </w:p>
    <w:p>
      <w:pPr>
        <w:pStyle w:val="ListParagraph"/>
        <w:numPr>
          <w:ilvl w:val="0"/>
          <w:numId w:val="3"/>
        </w:numPr>
        <w:spacing w:after="55" w:before="55" w:line="295" w:lineRule="auto"/>
      </w:pPr>
      <w:r>
        <w:rPr>
          <w:rFonts w:ascii="Arial" w:cs="Arial" w:eastAsia="Arial" w:hAnsi="Arial"/>
          <w:b/>
          <w:bCs/>
          <w:color w:val="1A1A1A"/>
          <w:sz w:val="20"/>
          <w:szCs w:val="20"/>
        </w:rPr>
        <w:t xml:space="preserve">Design admin portal for hybrid model.</w:t>
      </w:r>
      <w:r>
        <w:rPr>
          <w:rFonts w:ascii="Arial" w:cs="Arial" w:eastAsia="Arial" w:hAnsi="Arial"/>
          <w:b w:val="false"/>
          <w:bCs w:val="false"/>
          <w:color w:val="333333"/>
          <w:sz w:val="20"/>
          <w:szCs w:val="20"/>
        </w:rPr>
        <w:t xml:space="preserve"> Resolve name display architecture for the hybrid deployment.</w:t>
      </w:r>
    </w:p>
    <w:p>
      <w:pPr>
        <w:pStyle w:val="ListParagraph"/>
        <w:numPr>
          <w:ilvl w:val="0"/>
          <w:numId w:val="3"/>
        </w:numPr>
        <w:spacing w:after="55" w:before="55" w:line="295" w:lineRule="auto"/>
      </w:pPr>
      <w:r>
        <w:rPr>
          <w:rFonts w:ascii="Arial" w:cs="Arial" w:eastAsia="Arial" w:hAnsi="Arial"/>
          <w:b/>
          <w:bCs/>
          <w:color w:val="1A1A1A"/>
          <w:sz w:val="20"/>
          <w:szCs w:val="20"/>
        </w:rPr>
        <w:t xml:space="preserve">Define portfolio_name convention.</w:t>
      </w:r>
      <w:r>
        <w:rPr>
          <w:rFonts w:ascii="Arial" w:cs="Arial" w:eastAsia="Arial" w:hAnsi="Arial"/>
          <w:b w:val="false"/>
          <w:bCs w:val="false"/>
          <w:color w:val="333333"/>
          <w:sz w:val="20"/>
          <w:szCs w:val="20"/>
        </w:rPr>
        <w:t xml:space="preserve"> Enforce non-identifying naming or move to vault.</w:t>
      </w:r>
    </w:p>
    <w:p>
      <w:pPr>
        <w:pStyle w:val="ListParagraph"/>
        <w:numPr>
          <w:ilvl w:val="0"/>
          <w:numId w:val="3"/>
        </w:numPr>
        <w:spacing w:after="55" w:before="55" w:line="295" w:lineRule="auto"/>
      </w:pPr>
      <w:r>
        <w:rPr>
          <w:rFonts w:ascii="Arial" w:cs="Arial" w:eastAsia="Arial" w:hAnsi="Arial"/>
          <w:b/>
          <w:bCs/>
          <w:color w:val="1A1A1A"/>
          <w:sz w:val="20"/>
          <w:szCs w:val="20"/>
        </w:rPr>
        <w:t xml:space="preserve">Define new field governance process.</w:t>
      </w:r>
      <w:r>
        <w:rPr>
          <w:rFonts w:ascii="Arial" w:cs="Arial" w:eastAsia="Arial" w:hAnsi="Arial"/>
          <w:b w:val="false"/>
          <w:bCs w:val="false"/>
          <w:color w:val="333333"/>
          <w:sz w:val="20"/>
          <w:szCs w:val="20"/>
        </w:rPr>
        <w:t xml:space="preserve"> Classification decision workflow before any new field enters production.</w:t>
      </w:r>
    </w:p>
    <w:p>
      <w:pPr>
        <w:spacing w:after="0" w:before="80"/>
      </w:pPr>
    </w:p>
    <w:p>
      <w:pPr>
        <w:pStyle w:val="Heading2"/>
        <w:spacing w:after="60" w:before="240"/>
      </w:pPr>
      <w:r>
        <w:rPr>
          <w:rFonts w:ascii="Arial" w:cs="Arial" w:eastAsia="Arial" w:hAnsi="Arial"/>
          <w:b/>
          <w:bCs/>
          <w:color w:val="1A1A1A"/>
          <w:sz w:val="21"/>
          <w:szCs w:val="21"/>
        </w:rPr>
        <w:t xml:space="preserve">P3 — Design Decisions</w:t>
      </w:r>
    </w:p>
    <w:p>
      <w:pPr>
        <w:pStyle w:val="ListParagraph"/>
        <w:numPr>
          <w:ilvl w:val="0"/>
          <w:numId w:val="3"/>
        </w:numPr>
        <w:spacing w:after="55" w:before="55" w:line="295" w:lineRule="auto"/>
      </w:pPr>
      <w:r>
        <w:rPr>
          <w:rFonts w:ascii="Arial" w:cs="Arial" w:eastAsia="Arial" w:hAnsi="Arial"/>
          <w:b/>
          <w:bCs/>
          <w:color w:val="1A1A1A"/>
          <w:sz w:val="20"/>
          <w:szCs w:val="20"/>
        </w:rPr>
        <w:t xml:space="preserve">Resolve strategy data aggregate use.</w:t>
      </w:r>
      <w:r>
        <w:rPr>
          <w:rFonts w:ascii="Arial" w:cs="Arial" w:eastAsia="Arial" w:hAnsi="Arial"/>
          <w:b w:val="false"/>
          <w:bCs w:val="false"/>
          <w:color w:val="333333"/>
          <w:sz w:val="20"/>
          <w:szCs w:val="20"/>
        </w:rPr>
        <w:t xml:space="preserve"> Decision and subscription agreement clause.</w:t>
      </w:r>
    </w:p>
    <w:p>
      <w:pPr>
        <w:pStyle w:val="ListParagraph"/>
        <w:numPr>
          <w:ilvl w:val="0"/>
          <w:numId w:val="3"/>
        </w:numPr>
        <w:spacing w:after="55" w:before="55" w:line="295" w:lineRule="auto"/>
      </w:pPr>
      <w:r>
        <w:rPr>
          <w:rFonts w:ascii="Arial" w:cs="Arial" w:eastAsia="Arial" w:hAnsi="Arial"/>
          <w:b/>
          <w:bCs/>
          <w:color w:val="1A1A1A"/>
          <w:sz w:val="20"/>
          <w:szCs w:val="20"/>
        </w:rPr>
        <w:t xml:space="preserve">Encryption at rest for pseudonymised data.</w:t>
      </w:r>
      <w:r>
        <w:rPr>
          <w:rFonts w:ascii="Arial" w:cs="Arial" w:eastAsia="Arial" w:hAnsi="Arial"/>
          <w:b w:val="false"/>
          <w:bCs w:val="false"/>
          <w:color w:val="333333"/>
          <w:sz w:val="20"/>
          <w:szCs w:val="20"/>
        </w:rPr>
        <w:t xml:space="preserve"> Confirm standard as best practice regardless of legal requirement.</w:t>
      </w:r>
    </w:p>
    <w:p>
      <w:pPr>
        <w:spacing w:after="0" w:before="200"/>
      </w:pPr>
    </w:p>
    <w:p>
      <w:pPr>
        <w:pBdr>
          <w:bottom w:val="single" w:color="1A3A5C" w:sz="6" w:space="1"/>
        </w:pBdr>
        <w:spacing w:after="160" w:before="0"/>
      </w:pPr>
    </w:p>
    <w:p>
      <w:pPr>
        <w:spacing w:after="0" w:before="80"/>
      </w:pPr>
    </w:p>
    <w:p>
      <w:pPr>
        <w:spacing w:after="50" w:before="50" w:line="318" w:lineRule="auto"/>
      </w:pPr>
      <w:r>
        <w:rPr>
          <w:rFonts w:ascii="Arial" w:cs="Arial" w:eastAsia="Arial" w:hAnsi="Arial"/>
          <w:b w:val="false"/>
          <w:bCs w:val="false"/>
          <w:i/>
          <w:iCs/>
          <w:color w:val="333333"/>
          <w:sz w:val="20"/>
          <w:szCs w:val="20"/>
        </w:rPr>
        <w:t xml:space="preserve">This document is a working draft. Version 2.0 incorporates feedback from the 24-member InvestPuppy advisory panel, May 2026. All jurisdictional analysis reflects InvestPuppy’s internal assessment only and requires confirmation by qualified legal counsel in each jurisdiction before external use.</w:t>
      </w:r>
    </w:p>
    <w:p>
      <w:pPr>
        <w:spacing w:after="0" w:before="60"/>
      </w:pPr>
    </w:p>
    <w:p>
      <w:pPr>
        <w:spacing w:after="50" w:before="50" w:line="318" w:lineRule="auto"/>
      </w:pPr>
      <w:r>
        <w:rPr>
          <w:rFonts w:ascii="Arial" w:cs="Arial" w:eastAsia="Arial" w:hAnsi="Arial"/>
          <w:b w:val="false"/>
          <w:bCs w:val="false"/>
          <w:i/>
          <w:iCs/>
          <w:color w:val="333333"/>
          <w:sz w:val="20"/>
          <w:szCs w:val="20"/>
        </w:rPr>
        <w:t xml:space="preserve">Store in internal/regulatory/. Version-control all updates. Share externally only after legal sign-off in the relevant jurisdiction.</w:t>
      </w:r>
    </w:p>
    <w:p>
      <w:pPr>
        <w:spacing w:after="0" w:before="40"/>
      </w:pPr>
    </w:p>
    <w:p>
      <w:pPr>
        <w:spacing w:after="0" w:before="0"/>
      </w:pPr>
      <w:r>
        <w:rPr>
          <w:rFonts w:ascii="Arial" w:cs="Arial" w:eastAsia="Arial" w:hAnsi="Arial"/>
          <w:color w:val="666666"/>
          <w:sz w:val="16"/>
          <w:szCs w:val="16"/>
        </w:rPr>
        <w:t xml:space="preserve">InvestPuppy · investpuppy.com · Internal Reference · Version 2.1 · May 2026</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1"/>
      </w:pBdr>
      <w:tabs>
        <w:tab w:val="right" w:pos="8800"/>
      </w:tabs>
      <w:spacing w:after="0" w:before="120"/>
    </w:pPr>
    <w:r>
      <w:rPr>
        <w:rFonts w:ascii="Arial" w:cs="Arial" w:eastAsia="Arial" w:hAnsi="Arial"/>
        <w:i/>
        <w:iCs/>
        <w:color w:val="AAAAAA"/>
        <w:sz w:val="14"/>
        <w:szCs w:val="14"/>
      </w:rPr>
      <w:t xml:space="preserve">Internal only · Pending legal review · Not for external distribution</w:t>
    </w:r>
    <w:r>
      <w:rPr>
        <w:rFonts w:ascii="Arial" w:cs="Arial" w:eastAsia="Arial" w:hAnsi="Arial"/>
        <w:color w:val="AAAAAA"/>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tabs>
        <w:tab w:val="right" w:pos="8800"/>
      </w:tabs>
      <w:spacing w:after="120" w:before="0"/>
    </w:pPr>
    <w:r>
      <w:rPr>
        <w:rFonts w:ascii="Arial" w:cs="Arial" w:eastAsia="Arial" w:hAnsi="Arial"/>
        <w:b/>
        <w:bCs/>
        <w:color w:val="1A3A5C"/>
        <w:sz w:val="15"/>
        <w:szCs w:val="15"/>
      </w:rPr>
      <w:t xml:space="preserve">InvestPuppy · Data Residency and Privacy Framework v2.1</w:t>
    </w:r>
    <w:r>
      <w:rPr>
        <w:rFonts w:ascii="Arial" w:cs="Arial" w:eastAsia="Arial" w:hAnsi="Arial"/>
        <w:color w:val="AAAAAA"/>
        <w:sz w:val="14"/>
        <w:szCs w:val="14"/>
      </w:rPr>
      <w:t xml:space="preserve">	Internal Reference · Draft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1A3A5C"/>
      <w:sz w:val="24"/>
      <w:szCs w:val="24"/>
    </w:rPr>
  </w:style>
  <w:style w:type="paragraph" w:styleId="Heading2">
    <w:name w:val="Heading 2"/>
    <w:basedOn w:val="Normal"/>
    <w:next w:val="Normal"/>
    <w:qFormat/>
    <w:pPr>
      <w:spacing w:after="60" w:before="240"/>
      <w:outlineLvl w:val="1"/>
    </w:pPr>
    <w:rPr>
      <w:rFonts w:ascii="Arial" w:cs="Arial" w:eastAsia="Arial" w:hAnsi="Arial"/>
      <w:b/>
      <w:bCs/>
      <w:color w:val="1A1A1A"/>
      <w:sz w:val="21"/>
      <w:szCs w:val="21"/>
    </w:rPr>
  </w:style>
  <w:style w:type="paragraph" w:styleId="Heading3">
    <w:name w:val="Heading 3"/>
    <w:basedOn w:val="Normal"/>
    <w:next w:val="Normal"/>
    <w:qFormat/>
    <w:pPr>
      <w:spacing w:after="40" w:before="180"/>
      <w:outlineLvl w:val="2"/>
    </w:pPr>
    <w:rPr>
      <w:rFonts w:ascii="Arial" w:cs="Arial" w:eastAsia="Arial" w:hAnsi="Arial"/>
      <w:b/>
      <w:bCs/>
      <w:color w:val="1A3A5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2026-05-13T02:23:01.310Z</dcterms:created>
  <dcterms:modified xsi:type="dcterms:W3CDTF">2026-05-13T02:23:01.324Z</dcterms:modified>
</cp:coreProperties>
</file>

<file path=docProps/custom.xml><?xml version="1.0" encoding="utf-8"?>
<Properties xmlns="http://schemas.openxmlformats.org/officeDocument/2006/custom-properties" xmlns:vt="http://schemas.openxmlformats.org/officeDocument/2006/docPropsVTypes"/>
</file>