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50" w:before="0"/>
      </w:pPr>
      <w:r>
        <w:rPr>
          <w:rFonts w:ascii="Arial" w:cs="Arial" w:eastAsia="Arial" w:hAnsi="Arial"/>
          <w:b/>
          <w:bCs/>
          <w:caps/>
          <w:color w:val="C8A96E"/>
          <w:sz w:val="15"/>
          <w:szCs w:val="15"/>
        </w:rPr>
        <w:t xml:space="preserve">VEKTOR BY INVESTPUPPY</w:t>
      </w:r>
    </w:p>
    <w:p>
      <w:pPr>
        <w:spacing w:after="80" w:before="0"/>
      </w:pPr>
      <w:r>
        <w:rPr>
          <w:rFonts w:ascii="Arial" w:cs="Arial" w:eastAsia="Arial" w:hAnsi="Arial"/>
          <w:b/>
          <w:bCs/>
          <w:color w:val="E8E8EC"/>
          <w:sz w:val="40"/>
          <w:szCs w:val="40"/>
        </w:rPr>
        <w:t xml:space="preserve">For External Asset Managers</w:t>
      </w:r>
    </w:p>
    <w:p>
      <w:pPr>
        <w:spacing w:after="0" w:before="0"/>
      </w:pPr>
      <w:r>
        <w:rPr>
          <w:rFonts w:ascii="Arial" w:cs="Arial" w:eastAsia="Arial" w:hAnsi="Arial"/>
          <w:i/>
          <w:iCs/>
          <w:color w:val="B8B4C0"/>
          <w:sz w:val="22"/>
          <w:szCs w:val="22"/>
        </w:rPr>
        <w:t xml:space="preserve">Systematic equity management built for the way you work</w:t>
      </w:r>
    </w:p>
    <w:p>
      <w:pPr>
        <w:pBdr>
          <w:bottom w:val="single" w:color="C8A96E" w:sz="10" w:space="1"/>
        </w:pBdr>
        <w:spacing w:after="180" w:before="0"/>
      </w:pPr>
    </w:p>
    <w:p>
      <w:pPr>
        <w:spacing w:after="0" w:before="80"/>
      </w:pPr>
    </w:p>
    <w:p>
      <w:pPr>
        <w:pStyle w:val="Heading1"/>
        <w:pBdr>
          <w:bottom w:val="single" w:color="C8A96E" w:sz="3" w:space="4"/>
        </w:pBdr>
        <w:spacing w:after="80" w:before="360"/>
      </w:pPr>
      <w:r>
        <w:rPr>
          <w:rFonts w:ascii="Arial" w:cs="Arial" w:eastAsia="Arial" w:hAnsi="Arial"/>
          <w:b/>
          <w:bCs/>
          <w:caps/>
          <w:color w:val="C8A96E"/>
          <w:sz w:val="24"/>
          <w:szCs w:val="24"/>
        </w:rPr>
        <w:t xml:space="preserve">The EAM Challenge</w:t>
      </w:r>
    </w:p>
    <w:p>
      <w:pPr>
        <w:spacing w:after="50" w:before="50" w:line="315" w:lineRule="auto"/>
      </w:pPr>
      <w:r>
        <w:rPr>
          <w:rFonts w:ascii="Arial" w:cs="Arial" w:eastAsia="Arial" w:hAnsi="Arial"/>
          <w:b w:val="false"/>
          <w:bCs w:val="false"/>
          <w:i w:val="false"/>
          <w:iCs w:val="false"/>
          <w:color w:val="E8E2D9"/>
          <w:sz w:val="20"/>
          <w:szCs w:val="20"/>
        </w:rPr>
        <w:t xml:space="preserve">External Asset Managers — and the family office investment teams operating on similar mandates — work in a structural gap that the technology market has not addressed well. You manage institutional-complexity portfolios for sophisticated clients. You hold those assets at custodian banks that have their own infrastructure. You run a practice at boutique scale, which means the institutional tools are priced for someone else, and the retail tools are not serious enough for what you do.</w:t>
      </w:r>
    </w:p>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The gap is not about capability. Experienced EAMs have the quantitative rigour, the investment philosophy, and the client relationships that define good wealth management. What the market has not provided is the systematic infrastructure that makes that rigour operational, documented, and evidenced at the standard that regulators and custodians now expect.</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The compliance environment changed. The tools available to EAMs did not.</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Vektor is built specifically to close that gap.</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What Regulators Now Require</w:t>
      </w:r>
    </w:p>
    <w:p>
      <w:pPr>
        <w:pStyle w:val="Heading2"/>
        <w:spacing w:after="60" w:before="240"/>
      </w:pPr>
      <w:r>
        <w:rPr>
          <w:rFonts w:ascii="Arial" w:cs="Arial" w:eastAsia="Arial" w:hAnsi="Arial"/>
          <w:b/>
          <w:bCs/>
          <w:color w:val="E8E8EC"/>
          <w:sz w:val="21"/>
          <w:szCs w:val="21"/>
        </w:rPr>
        <w:t xml:space="preserve">Singapore — MAS</w:t>
      </w:r>
    </w:p>
    <w:p>
      <w:pPr>
        <w:spacing w:after="50" w:before="50" w:line="315" w:lineRule="auto"/>
      </w:pPr>
      <w:r>
        <w:rPr>
          <w:rFonts w:ascii="Arial" w:cs="Arial" w:eastAsia="Arial" w:hAnsi="Arial"/>
          <w:b w:val="false"/>
          <w:bCs w:val="false"/>
          <w:i w:val="false"/>
          <w:iCs w:val="false"/>
          <w:color w:val="E8E2D9"/>
          <w:sz w:val="20"/>
          <w:szCs w:val="20"/>
        </w:rPr>
        <w:t xml:space="preserve">MAS has formalised the licensed wealth management sector and raised expectations for process documentation and technology governance. EAMs operating under a CMS licence are expected to evidence systematic investment processes, maintain complete audit trails for investment decisions, and demonstrate that technology risk in their operations is properly managed.</w:t>
      </w:r>
    </w:p>
    <w:p>
      <w:pPr>
        <w:spacing w:after="0" w:before="80"/>
      </w:pPr>
    </w:p>
    <w:p>
      <w:pPr>
        <w:pStyle w:val="Heading2"/>
        <w:spacing w:after="60" w:before="240"/>
      </w:pPr>
      <w:r>
        <w:rPr>
          <w:rFonts w:ascii="Arial" w:cs="Arial" w:eastAsia="Arial" w:hAnsi="Arial"/>
          <w:b/>
          <w:bCs/>
          <w:color w:val="E8E8EC"/>
          <w:sz w:val="21"/>
          <w:szCs w:val="21"/>
        </w:rPr>
        <w:t xml:space="preserve">Switzerland — FINMA</w:t>
      </w:r>
    </w:p>
    <w:p>
      <w:pPr>
        <w:spacing w:after="50" w:before="50" w:line="315" w:lineRule="auto"/>
      </w:pPr>
      <w:r>
        <w:rPr>
          <w:rFonts w:ascii="Arial" w:cs="Arial" w:eastAsia="Arial" w:hAnsi="Arial"/>
          <w:b w:val="false"/>
          <w:bCs w:val="false"/>
          <w:i w:val="false"/>
          <w:iCs w:val="false"/>
          <w:color w:val="E8E2D9"/>
          <w:sz w:val="20"/>
          <w:szCs w:val="20"/>
        </w:rPr>
        <w:t xml:space="preserve">FINMA’s Financial Institutions Act (FinIA) and the new supervisory organisation framework require Swiss IAMs to document their investment process, risk management procedures, conflicts of interest management, and best execution evidence. The supervisory organisation will review these on an ongoing basis. Manual processes dressed as documentation are increasingly visible as insufficient.</w:t>
      </w:r>
    </w:p>
    <w:p>
      <w:pPr>
        <w:spacing w:after="0" w:before="80"/>
      </w:pPr>
    </w:p>
    <w:p>
      <w:pPr>
        <w:pStyle w:val="Heading2"/>
        <w:spacing w:after="60" w:before="240"/>
      </w:pPr>
      <w:r>
        <w:rPr>
          <w:rFonts w:ascii="Arial" w:cs="Arial" w:eastAsia="Arial" w:hAnsi="Arial"/>
          <w:b/>
          <w:bCs/>
          <w:color w:val="E8E8EC"/>
          <w:sz w:val="21"/>
          <w:szCs w:val="21"/>
        </w:rPr>
        <w:t xml:space="preserve">United Kingdom — FCA</w:t>
      </w:r>
    </w:p>
    <w:p>
      <w:pPr>
        <w:spacing w:after="50" w:before="50" w:line="315" w:lineRule="auto"/>
      </w:pPr>
      <w:r>
        <w:rPr>
          <w:rFonts w:ascii="Arial" w:cs="Arial" w:eastAsia="Arial" w:hAnsi="Arial"/>
          <w:b w:val="false"/>
          <w:bCs w:val="false"/>
          <w:i w:val="false"/>
          <w:iCs w:val="false"/>
          <w:color w:val="E8E2D9"/>
          <w:sz w:val="20"/>
          <w:szCs w:val="20"/>
        </w:rPr>
        <w:t xml:space="preserve">FCA-regulated discretionary managers are subject to MiFID-derived conduct requirements, algorithmic trading governance expectations, and operational resilience standards. The use of systematic tools in an investment process carries specific documentation and governance obligations that are becoming harder to meet with informal arrangements.</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What Vektor Provides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c>
          <w:tcPr>
            <w:tcW w:type="dxa" w:w="24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Quantitative research</w:t>
            </w:r>
          </w:p>
        </w:tc>
        <w:tc>
          <w:tcPr>
            <w:tcW w:type="dxa" w:w="62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Universe screening, 10,000 portfolio configurations per strategy, efficient frontier calculation, correlation analysis, and optimal weight determination. Institutional-grade portfolio construction at boutique-accessible pricing.</w:t>
            </w:r>
          </w:p>
        </w:tc>
      </w:tr>
      <w:tr>
        <w:tc>
          <w:tcPr>
            <w:tcW w:type="dxa" w:w="24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Technical indicator selection</w:t>
            </w:r>
          </w:p>
        </w:tc>
        <w:tc>
          <w:tcPr>
            <w:tcW w:type="dxa" w:w="62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Automated backtesting of six technical indicators per instrument. The best-performing indicator is assigned to each stock based on risk-adjusted returns. Parameters are optimised, results are stored, and the selection rationale is documented.</w:t>
            </w:r>
          </w:p>
        </w:tc>
      </w:tr>
      <w:tr>
        <w:tc>
          <w:tcPr>
            <w:tcW w:type="dxa" w:w="24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ML signal validation</w:t>
            </w:r>
          </w:p>
        </w:tc>
        <w:tc>
          <w:tcPr>
            <w:tcW w:type="dxa" w:w="62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Every trade signal passes through an XGBoost model trained on the instrument’s price history before an order is created. Signals where the model and the technical indicator disagree are blocked. False signals are reduced by 30–50% compared to indicator-only approaches.</w:t>
            </w:r>
          </w:p>
        </w:tc>
      </w:tr>
      <w:tr>
        <w:tc>
          <w:tcPr>
            <w:tcW w:type="dxa" w:w="24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Audit trail</w:t>
            </w:r>
          </w:p>
        </w:tc>
        <w:tc>
          <w:tcPr>
            <w:tcW w:type="dxa" w:w="62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Complete, unbroken trail from signal generation through ML validation to order creation and execution. Every decision is documented. Every blocked signal is recorded with the reason. The audit record is available for regulatory review at any time.</w:t>
            </w:r>
          </w:p>
        </w:tc>
      </w:tr>
      <w:tr>
        <w:tc>
          <w:tcPr>
            <w:tcW w:type="dxa" w:w="24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Order management</w:t>
            </w:r>
          </w:p>
        </w:tc>
        <w:tc>
          <w:tcPr>
            <w:tcW w:type="dxa" w:w="62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Automated order creation for approved signals. Exchange board lot rounding sized to each market’s specific lot requirements. Cash buffer management and multi-portfolio handling across SGX, SIX, LSE, NYSE, and any listed equity exchange. Orders are tracked from creation through execution with a complete state machine record.</w:t>
            </w:r>
          </w:p>
        </w:tc>
      </w:tr>
      <w:tr>
        <w:tc>
          <w:tcPr>
            <w:tcW w:type="dxa" w:w="24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Compliance documentation</w:t>
            </w:r>
          </w:p>
        </w:tc>
        <w:tc>
          <w:tcPr>
            <w:tcW w:type="dxa" w:w="62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The methodology is documented across eleven research papers. The platform’s approach to risk disclosure, audit and compliance, and AI/ML philosophy is published. Regulators and supervisory organisations reviewing a client’s investment process can access the full methodology documentation.</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The Audit Trail as Regulatory Response</w:t>
      </w:r>
    </w:p>
    <w:p>
      <w:pPr>
        <w:spacing w:after="50" w:before="50" w:line="315" w:lineRule="auto"/>
      </w:pPr>
      <w:r>
        <w:rPr>
          <w:rFonts w:ascii="Arial" w:cs="Arial" w:eastAsia="Arial" w:hAnsi="Arial"/>
          <w:b w:val="false"/>
          <w:bCs w:val="false"/>
          <w:i w:val="false"/>
          <w:iCs w:val="false"/>
          <w:color w:val="E8E2D9"/>
          <w:sz w:val="20"/>
          <w:szCs w:val="20"/>
        </w:rPr>
        <w:t xml:space="preserve">Most EAMs approach compliance documentation as a parallel process to investment management. The compliance team documents what the investment team did. Vektor makes documentation intrinsic to the investment process rather than additional to it.</w:t>
      </w:r>
    </w:p>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When a signal is generated, the technical indicator, the instrument, the signal direction, and the confidence score are recorded. When the ML model evaluates the signal, the ML direction and probability score are stored against the order record. When an order is submitted, the broker reference, the fill price, and the execution timestamp are captured. When the FINMA supervisory organisation or MAS reviews the portfolio manager’s process, every decision point has a documented record that was created as the decision was made, not reconstructed afterwards.</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This is not a compliance tool that sits alongside the investment process.</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It is an investment process that produces compliance evidence as a natural output.</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Access Routes</w:t>
      </w:r>
    </w:p>
    <w:p>
      <w:pPr>
        <w:pStyle w:val="Heading2"/>
        <w:spacing w:after="60" w:before="240"/>
      </w:pPr>
      <w:r>
        <w:rPr>
          <w:rFonts w:ascii="Arial" w:cs="Arial" w:eastAsia="Arial" w:hAnsi="Arial"/>
          <w:b/>
          <w:bCs/>
          <w:color w:val="E8E8EC"/>
          <w:sz w:val="21"/>
          <w:szCs w:val="21"/>
        </w:rPr>
        <w:t xml:space="preserve">Direct subscription</w:t>
      </w:r>
    </w:p>
    <w:p>
      <w:pPr>
        <w:spacing w:after="50" w:before="50" w:line="315" w:lineRule="auto"/>
      </w:pPr>
      <w:r>
        <w:rPr>
          <w:rFonts w:ascii="Arial" w:cs="Arial" w:eastAsia="Arial" w:hAnsi="Arial"/>
          <w:b w:val="false"/>
          <w:bCs w:val="false"/>
          <w:i w:val="false"/>
          <w:iCs w:val="false"/>
          <w:color w:val="E8E2D9"/>
          <w:sz w:val="20"/>
          <w:szCs w:val="20"/>
        </w:rPr>
        <w:t xml:space="preserve">EAMs subscribe to Vektor directly. The Founding Mandate programme offers the first three clients a permanently preferential subscription rate in exchange for being part of the initial production deployment. The proof of concept is run on your mandate before any commercial commitment — you evaluate the platform on your own data.</w:t>
      </w:r>
    </w:p>
    <w:p>
      <w:pPr>
        <w:spacing w:after="0" w:before="80"/>
      </w:pPr>
    </w:p>
    <w:p>
      <w:pPr>
        <w:pStyle w:val="Heading2"/>
        <w:spacing w:after="60" w:before="240"/>
      </w:pPr>
      <w:r>
        <w:rPr>
          <w:rFonts w:ascii="Arial" w:cs="Arial" w:eastAsia="Arial" w:hAnsi="Arial"/>
          <w:b/>
          <w:bCs/>
          <w:color w:val="E8E8EC"/>
          <w:sz w:val="21"/>
          <w:szCs w:val="21"/>
        </w:rPr>
        <w:t xml:space="preserve">Through your custodian bank</w:t>
      </w:r>
    </w:p>
    <w:p>
      <w:pPr>
        <w:spacing w:after="50" w:before="50" w:line="315" w:lineRule="auto"/>
      </w:pPr>
      <w:r>
        <w:rPr>
          <w:rFonts w:ascii="Arial" w:cs="Arial" w:eastAsia="Arial" w:hAnsi="Arial"/>
          <w:b w:val="false"/>
          <w:bCs w:val="false"/>
          <w:i w:val="false"/>
          <w:iCs w:val="false"/>
          <w:color w:val="E8E2D9"/>
          <w:sz w:val="20"/>
          <w:szCs w:val="20"/>
        </w:rPr>
        <w:t xml:space="preserve">Custodian banks are integrating Vektor into their EAM service platforms via the OpenWealth API standard. If your custodian bank is an InvestPuppy partner, Vektor’s systematic construction output flows directly into your custodian’s reporting and execution infrastructure. Contact us to discuss whether your custodian is in conversation with InvestPuppy.</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The Founding Mandate</w:t>
      </w:r>
    </w:p>
    <w:p>
      <w:pPr>
        <w:spacing w:after="50" w:before="50" w:line="315" w:lineRule="auto"/>
      </w:pPr>
      <w:r>
        <w:rPr>
          <w:rFonts w:ascii="Arial" w:cs="Arial" w:eastAsia="Arial" w:hAnsi="Arial"/>
          <w:b w:val="false"/>
          <w:bCs w:val="false"/>
          <w:i w:val="false"/>
          <w:iCs w:val="false"/>
          <w:color w:val="E8E2D9"/>
          <w:sz w:val="20"/>
          <w:szCs w:val="20"/>
        </w:rPr>
        <w:t xml:space="preserve">The first three clients to commit to Vektor receive preferential commercial terms locked for the duration of the relationship. InvestPuppy is at pre-revenue stage. The Founding Mandate programme is designed to build the first live track record in partnership with clients who have evaluated the methodology and are willing to be the first to run it in production.</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300"/>
        <w:gridCol w:w="6300"/>
      </w:tblGrid>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Current stage</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Platform built and tested in simulation. Live trading pending first Founding Mandate client deployment.</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Proof of concept</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We run the full Vektor workflow on your mandate. You see the allocation output, the signal history, and the platform’s performance on your own instruments before committing.</w:t>
            </w:r>
          </w:p>
        </w:tc>
      </w:tr>
      <w:tr>
        <w:tc>
          <w:tcPr>
            <w:tcW w:type="dxa" w:w="2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Slots available</w:t>
            </w:r>
          </w:p>
        </w:tc>
        <w:tc>
          <w:tcPr>
            <w:tcW w:type="dxa" w:w="63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Three. Once filled, standard pricing applies.</w:t>
            </w:r>
          </w:p>
        </w:tc>
      </w:tr>
      <w:tr>
        <w:tc>
          <w:tcPr>
            <w:tcW w:type="dxa" w:w="2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Contact</w:t>
            </w:r>
          </w:p>
        </w:tc>
        <w:tc>
          <w:tcPr>
            <w:tcW w:type="dxa" w:w="63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contact@investpuppy.com · Reference: EAM Founding Mandate</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Commercial Terms</w:t>
      </w:r>
    </w:p>
    <w:p>
      <w:pPr>
        <w:spacing w:after="50" w:before="50" w:line="315" w:lineRule="auto"/>
      </w:pPr>
      <w:r>
        <w:rPr>
          <w:rFonts w:ascii="Arial" w:cs="Arial" w:eastAsia="Arial" w:hAnsi="Arial"/>
          <w:b w:val="false"/>
          <w:bCs w:val="false"/>
          <w:i w:val="false"/>
          <w:iCs w:val="false"/>
          <w:color w:val="E8E2D9"/>
          <w:sz w:val="20"/>
          <w:szCs w:val="20"/>
        </w:rPr>
        <w:t xml:space="preserve">Subscription pricing, the Founding Mandate programme rates, and AUM tier structure are detailed in the Founding Mandate Programme document, available on registration at investpuppy.com/documents.</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What We Are Not</w:t>
      </w:r>
    </w:p>
    <w:p>
      <w:pPr>
        <w:pStyle w:val="ListParagraph"/>
        <w:numPr>
          <w:ilvl w:val="0"/>
          <w:numId w:val="2"/>
        </w:numPr>
        <w:spacing w:after="55" w:before="55" w:line="295" w:lineRule="auto"/>
      </w:pPr>
      <w:r>
        <w:rPr>
          <w:rFonts w:ascii="Arial" w:cs="Arial" w:eastAsia="Arial" w:hAnsi="Arial"/>
          <w:color w:val="E8E2D9"/>
          <w:sz w:val="20"/>
          <w:szCs w:val="20"/>
        </w:rPr>
        <w:t xml:space="preserve">Not a live trading system with an established track record. We have not yet executed a live trade. The Founding Mandate programme is how we build that record together.</w:t>
      </w:r>
    </w:p>
    <w:p>
      <w:pPr>
        <w:pStyle w:val="ListParagraph"/>
        <w:numPr>
          <w:ilvl w:val="0"/>
          <w:numId w:val="2"/>
        </w:numPr>
        <w:spacing w:after="55" w:before="55" w:line="295" w:lineRule="auto"/>
      </w:pPr>
      <w:r>
        <w:rPr>
          <w:rFonts w:ascii="Arial" w:cs="Arial" w:eastAsia="Arial" w:hAnsi="Arial"/>
          <w:color w:val="E8E2D9"/>
          <w:sz w:val="20"/>
          <w:szCs w:val="20"/>
        </w:rPr>
        <w:t xml:space="preserve">Not an investment adviser. Vektor is a systematic construction and execution tool used by licensed EAMs. Regulatory responsibility for investment decisions remains with you.</w:t>
      </w:r>
    </w:p>
    <w:p>
      <w:pPr>
        <w:pStyle w:val="ListParagraph"/>
        <w:numPr>
          <w:ilvl w:val="0"/>
          <w:numId w:val="2"/>
        </w:numPr>
        <w:spacing w:after="55" w:before="55" w:line="295" w:lineRule="auto"/>
      </w:pPr>
      <w:r>
        <w:rPr>
          <w:rFonts w:ascii="Arial" w:cs="Arial" w:eastAsia="Arial" w:hAnsi="Arial"/>
          <w:color w:val="E8E2D9"/>
          <w:sz w:val="20"/>
          <w:szCs w:val="20"/>
        </w:rPr>
        <w:t xml:space="preserve">Not a multi-asset platform. Current scope is listed equities across any exchange. Multi-asset support is on the roadmap.</w:t>
      </w:r>
    </w:p>
    <w:p>
      <w:pPr>
        <w:pStyle w:val="ListParagraph"/>
        <w:numPr>
          <w:ilvl w:val="0"/>
          <w:numId w:val="2"/>
        </w:numPr>
        <w:spacing w:after="55" w:before="55" w:line="295" w:lineRule="auto"/>
      </w:pPr>
      <w:r>
        <w:rPr>
          <w:rFonts w:ascii="Arial" w:cs="Arial" w:eastAsia="Arial" w:hAnsi="Arial"/>
          <w:color w:val="E8E2D9"/>
          <w:sz w:val="20"/>
          <w:szCs w:val="20"/>
        </w:rPr>
        <w:t xml:space="preserve">Not a reporting portal. Client-facing reporting is delivered through integration with the reporting tools you already use, via the OpenWealth API.</w:t>
      </w:r>
    </w:p>
    <w:p>
      <w:pPr>
        <w:spacing w:after="0" w:before="120"/>
      </w:pPr>
    </w:p>
    <w:p>
      <w:pPr>
        <w:pBdr>
          <w:bottom w:val="single" w:color="C8A96E" w:sz="6" w:space="1"/>
        </w:pBdr>
        <w:spacing w:after="180" w:before="0"/>
      </w:pPr>
    </w:p>
    <w:p>
      <w:pPr>
        <w:spacing w:after="0" w:before="80"/>
      </w:pPr>
    </w:p>
    <w:p>
      <w:pPr>
        <w:spacing w:after="0" w:before="0"/>
      </w:pPr>
      <w:r>
        <w:rPr>
          <w:rFonts w:ascii="Arial" w:cs="Arial" w:eastAsia="Arial" w:hAnsi="Arial"/>
          <w:color w:val="2A2A35"/>
          <w:sz w:val="17"/>
          <w:szCs w:val="17"/>
        </w:rPr>
        <w:t xml:space="preserve">Vektor by InvestPuppy · investpuppy.com · contact@investpuppy.com · May 2026</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35" w:sz="3" w:space="1"/>
      </w:pBdr>
      <w:tabs>
        <w:tab w:val="right" w:pos="8600"/>
      </w:tabs>
      <w:spacing w:after="0" w:before="120"/>
    </w:pPr>
    <w:r>
      <w:rPr>
        <w:rFonts w:ascii="Arial" w:cs="Arial" w:eastAsia="Arial" w:hAnsi="Arial"/>
        <w:i/>
        <w:iCs/>
        <w:color w:val="2A2A35"/>
        <w:sz w:val="14"/>
        <w:szCs w:val="14"/>
      </w:rPr>
      <w:t xml:space="preserve">Tier 2 · Qualified · investpuppy.com</w:t>
    </w:r>
    <w:r>
      <w:rPr>
        <w:rFonts w:ascii="Arial" w:cs="Arial" w:eastAsia="Arial" w:hAnsi="Arial"/>
        <w:color w:val="2A2A35"/>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1"/>
      </w:pBdr>
      <w:tabs>
        <w:tab w:val="right" w:pos="8600"/>
      </w:tabs>
      <w:spacing w:after="120" w:before="0"/>
    </w:pPr>
    <w:r>
      <w:rPr>
        <w:rFonts w:ascii="Arial" w:cs="Arial" w:eastAsia="Arial" w:hAnsi="Arial"/>
        <w:b/>
        <w:bCs/>
        <w:color w:val="C8A96E"/>
        <w:sz w:val="15"/>
        <w:szCs w:val="15"/>
      </w:rPr>
      <w:t xml:space="preserve">Vektor · EAM Proposition</w:t>
    </w:r>
    <w:r>
      <w:rPr>
        <w:rFonts w:ascii="Arial" w:cs="Arial" w:eastAsia="Arial" w:hAnsi="Arial"/>
        <w:color w:val="2A2A35"/>
        <w:sz w:val="14"/>
        <w:szCs w:val="14"/>
      </w:rPr>
      <w:t xml:space="preserve">	Tier 2 · Qualified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2D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C8A96E"/>
      <w:sz w:val="24"/>
      <w:szCs w:val="24"/>
    </w:rPr>
  </w:style>
  <w:style w:type="paragraph" w:styleId="Heading2">
    <w:name w:val="Heading 2"/>
    <w:basedOn w:val="Normal"/>
    <w:next w:val="Normal"/>
    <w:qFormat/>
    <w:pPr>
      <w:spacing w:after="60" w:before="240"/>
      <w:outlineLvl w:val="1"/>
    </w:pPr>
    <w:rPr>
      <w:rFonts w:ascii="Arial" w:cs="Arial" w:eastAsia="Arial" w:hAnsi="Arial"/>
      <w:b/>
      <w:bCs/>
      <w:color w:val="E8E8E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2026-05-12T15:59:12.608Z</dcterms:created>
  <dcterms:modified xsi:type="dcterms:W3CDTF">2026-05-12T15:59:12.608Z</dcterms:modified>
</cp:coreProperties>
</file>

<file path=docProps/custom.xml><?xml version="1.0" encoding="utf-8"?>
<Properties xmlns="http://schemas.openxmlformats.org/officeDocument/2006/custom-properties" xmlns:vt="http://schemas.openxmlformats.org/officeDocument/2006/docPropsVTypes"/>
</file>