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50" w:before="0"/>
      </w:pPr>
      <w:r>
        <w:rPr>
          <w:rFonts w:ascii="Arial" w:cs="Arial" w:eastAsia="Arial" w:hAnsi="Arial"/>
          <w:b/>
          <w:bCs/>
          <w:caps/>
          <w:color w:val="4A8C2A"/>
          <w:sz w:val="15"/>
          <w:szCs w:val="15"/>
        </w:rPr>
        <w:t xml:space="preserve">INVESTPUPPY</w:t>
      </w:r>
    </w:p>
    <w:p>
      <w:pPr>
        <w:spacing w:after="80" w:before="0"/>
      </w:pPr>
      <w:r>
        <w:rPr>
          <w:rFonts w:ascii="Arial" w:cs="Arial" w:eastAsia="Arial" w:hAnsi="Arial"/>
          <w:b/>
          <w:bCs/>
          <w:color w:val="1A1A1A"/>
          <w:sz w:val="44"/>
          <w:szCs w:val="44"/>
        </w:rPr>
        <w:t xml:space="preserve">Founder Story</w:t>
      </w:r>
    </w:p>
    <w:p>
      <w:pPr>
        <w:spacing w:after="40" w:before="0"/>
      </w:pPr>
      <w:r>
        <w:rPr>
          <w:rFonts w:ascii="Arial" w:cs="Arial" w:eastAsia="Arial" w:hAnsi="Arial"/>
          <w:b/>
          <w:bCs/>
          <w:color w:val="C62828"/>
          <w:sz w:val="18"/>
          <w:szCs w:val="18"/>
        </w:rPr>
        <w:t xml:space="preserve">For NDA recipients only · Not for external distribution</w:t>
      </w:r>
    </w:p>
    <w:p>
      <w:pPr>
        <w:pBdr>
          <w:bottom w:val="single" w:color="4A8C2A" w:sz="10" w:space="1"/>
        </w:pBdr>
        <w:spacing w:after="180" w:before="0"/>
      </w:pPr>
    </w:p>
    <w:p>
      <w:pPr>
        <w:spacing w:after="0" w:before="60"/>
      </w:pPr>
    </w:p>
    <w:p>
      <w:pPr>
        <w:spacing w:after="50" w:before="50" w:line="315" w:lineRule="auto"/>
      </w:pPr>
      <w:r>
        <w:rPr>
          <w:rFonts w:ascii="Arial" w:cs="Arial" w:eastAsia="Arial" w:hAnsi="Arial"/>
          <w:b w:val="false"/>
          <w:bCs w:val="false"/>
          <w:i/>
          <w:iCs/>
          <w:color w:val="3A3A3A"/>
          <w:sz w:val="20"/>
          <w:szCs w:val="20"/>
        </w:rPr>
        <w:t xml:space="preserve">This document supplements the InvestPuppy brand story with the founding team narrative. It is shared under mutual confidentiality agreement. Placeholders marked ⚠ require completion by the founding team before distribution.</w:t>
      </w:r>
    </w:p>
    <w:p>
      <w:pPr>
        <w:spacing w:after="0" w:before="80"/>
      </w:pPr>
    </w:p>
    <w:p>
      <w:pPr>
        <w:pStyle w:val="Heading1"/>
        <w:pBdr>
          <w:bottom w:val="single" w:color="4A8C2A" w:sz="3" w:space="4"/>
        </w:pBdr>
        <w:spacing w:after="80" w:before="360"/>
      </w:pPr>
      <w:r>
        <w:rPr>
          <w:rFonts w:ascii="Arial" w:cs="Arial" w:eastAsia="Arial" w:hAnsi="Arial"/>
          <w:b/>
          <w:bCs/>
          <w:caps/>
          <w:color w:val="4A8C2A"/>
          <w:sz w:val="24"/>
          <w:szCs w:val="24"/>
        </w:rPr>
        <w:t xml:space="preserve">The Question Everyone Asks</w:t>
      </w:r>
    </w:p>
    <w:p>
      <w:pPr>
        <w:spacing w:after="50" w:before="50" w:line="315" w:lineRule="auto"/>
      </w:pPr>
      <w:r>
        <w:rPr>
          <w:rFonts w:ascii="Arial" w:cs="Arial" w:eastAsia="Arial" w:hAnsi="Arial"/>
          <w:b w:val="false"/>
          <w:bCs w:val="false"/>
          <w:i w:val="false"/>
          <w:iCs w:val="false"/>
          <w:color w:val="3A3A3A"/>
          <w:sz w:val="20"/>
          <w:szCs w:val="20"/>
        </w:rPr>
        <w:t xml:space="preserve">When people who know us well — people who have no stake in the answer, who have nothing to sell and nothing to gain — heard what we were building, they asked the same question independently. Not together. Separately. Without comparison.</w:t>
      </w:r>
    </w:p>
    <w:p>
      <w:pPr>
        <w:spacing w:after="0" w:before="80"/>
      </w:pPr>
    </w:p>
    <w:p>
      <w:pPr>
        <w:spacing w:after="50" w:before="50" w:line="315" w:lineRule="auto"/>
      </w:pPr>
      <w:r>
        <w:rPr>
          <w:rFonts w:ascii="Arial" w:cs="Arial" w:eastAsia="Arial" w:hAnsi="Arial"/>
          <w:b/>
          <w:bCs/>
          <w:i w:val="false"/>
          <w:iCs w:val="false"/>
          <w:color w:val="1A1A1A"/>
          <w:sz w:val="20"/>
          <w:szCs w:val="20"/>
        </w:rPr>
        <w:t xml:space="preserve">“Why this? Why now? Why you?”</w:t>
      </w:r>
    </w:p>
    <w:p>
      <w:pPr>
        <w:spacing w:after="0" w:before="80"/>
      </w:pPr>
    </w:p>
    <w:p>
      <w:pPr>
        <w:spacing w:after="50" w:before="50" w:line="315" w:lineRule="auto"/>
      </w:pPr>
      <w:r>
        <w:rPr>
          <w:rFonts w:ascii="Arial" w:cs="Arial" w:eastAsia="Arial" w:hAnsi="Arial"/>
          <w:b w:val="false"/>
          <w:bCs w:val="false"/>
          <w:i w:val="false"/>
          <w:iCs w:val="false"/>
          <w:color w:val="3A3A3A"/>
          <w:sz w:val="20"/>
          <w:szCs w:val="20"/>
        </w:rPr>
        <w:t xml:space="preserve">Both of us gave the same answer. Not a rehearsed answer. The honest one.</w:t>
      </w:r>
    </w:p>
    <w:p>
      <w:pPr>
        <w:spacing w:after="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AABCD4" w:sz="1"/>
              <w:left w:val="single" w:color="4A8C2A" w:sz="12"/>
              <w:bottom w:val="single" w:color="AABCD4" w:sz="1"/>
              <w:right w:val="single" w:color="AABCD4" w:sz="1"/>
            </w:tcBorders>
            <w:shd w:fill="F2F7EE"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“I could not have done it without him. He could not have done it without me.”</w:t>
            </w:r>
          </w:p>
        </w:tc>
      </w:tr>
      <w:tr>
        <w:tc>
          <w:tcPr>
            <w:tcW w:type="dxa" w:w="8600"/>
            <w:tcBorders>
              <w:top w:val="single" w:color="AABCD4" w:sz="1"/>
              <w:left w:val="single" w:color="4A8C2A" w:sz="12"/>
              <w:bottom w:val="single" w:color="AABCD4" w:sz="1"/>
              <w:right w:val="single" w:color="AABCD4" w:sz="1"/>
            </w:tcBorders>
            <w:shd w:fill="F2F7EE"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This is not a partnership of convenience. It is a partnership of genuine interdependence.</w:t>
            </w:r>
          </w:p>
        </w:tc>
      </w:tr>
      <w:tr>
        <w:tc>
          <w:tcPr>
            <w:tcW w:type="dxa" w:w="8600"/>
            <w:tcBorders>
              <w:top w:val="single" w:color="AABCD4" w:sz="1"/>
              <w:left w:val="single" w:color="4A8C2A" w:sz="12"/>
              <w:bottom w:val="single" w:color="AABCD4" w:sz="1"/>
              <w:right w:val="single" w:color="AABCD4" w:sz="1"/>
            </w:tcBorders>
            <w:shd w:fill="F2F7EE"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Ten years of evidence makes it more than a statement. It makes it a fact.</w:t>
            </w:r>
          </w:p>
        </w:tc>
      </w:tr>
    </w:tbl>
    <w:p>
      <w:pPr>
        <w:spacing w:after="0" w:before="120"/>
      </w:pPr>
    </w:p>
    <w:p>
      <w:pPr>
        <w:pStyle w:val="Heading1"/>
        <w:pBdr>
          <w:bottom w:val="single" w:color="4A8C2A" w:sz="3" w:space="4"/>
        </w:pBdr>
        <w:spacing w:after="80" w:before="360"/>
      </w:pPr>
      <w:r>
        <w:rPr>
          <w:rFonts w:ascii="Arial" w:cs="Arial" w:eastAsia="Arial" w:hAnsi="Arial"/>
          <w:b/>
          <w:bCs/>
          <w:caps/>
          <w:color w:val="4A8C2A"/>
          <w:sz w:val="24"/>
          <w:szCs w:val="24"/>
        </w:rPr>
        <w:t xml:space="preserve">The CEO</w:t>
      </w:r>
    </w:p>
    <w:p>
      <w:pPr>
        <w:pBdr>
          <w:top w:val="dashed" w:color="E65100" w:sz="4" w:space="1"/>
          <w:bottom w:val="dashed" w:color="E65100" w:sz="4" w:space="1"/>
          <w:left w:val="dashed" w:color="E65100" w:sz="4" w:space="1"/>
          <w:right w:val="dashed" w:color="E65100" w:sz="4" w:space="1"/>
        </w:pBdr>
        <w:spacing w:after="60" w:before="60"/>
      </w:pPr>
      <w:r>
        <w:rPr>
          <w:rFonts w:ascii="Arial" w:cs="Arial" w:eastAsia="Arial" w:hAnsi="Arial"/>
          <w:b/>
          <w:bCs/>
          <w:color w:val="E65100"/>
          <w:sz w:val="19"/>
          <w:szCs w:val="19"/>
        </w:rPr>
        <w:t xml:space="preserve">⚠ PLACEHOLDER — </w:t>
      </w:r>
      <w:r>
        <w:rPr>
          <w:rFonts w:ascii="Arial" w:cs="Arial" w:eastAsia="Arial" w:hAnsi="Arial"/>
          <w:i/>
          <w:iCs/>
          <w:color w:val="E65100"/>
          <w:sz w:val="19"/>
          <w:szCs w:val="19"/>
        </w:rPr>
        <w:t xml:space="preserve">Insert CEO full background here. Key elements to include: career history at Tier 1 wealth management institutions, specific PMS platform experience and the scope of that work (markets, regions, scale), the OpenWealth API implementation project and what it involved, the institutional knowledge acquired across Europe/Middle East/Asia Pacific, and what this experience revealed about the gap Vektor addresses. Tone: specific and credentialed, not generic.</w:t>
      </w:r>
    </w:p>
    <w:p>
      <w:pPr>
        <w:spacing w:after="0" w:before="80"/>
      </w:pPr>
    </w:p>
    <w:p>
      <w:pPr>
        <w:spacing w:after="50" w:before="50" w:line="315" w:lineRule="auto"/>
      </w:pPr>
      <w:r>
        <w:rPr>
          <w:rFonts w:ascii="Arial" w:cs="Arial" w:eastAsia="Arial" w:hAnsi="Arial"/>
          <w:b w:val="false"/>
          <w:bCs w:val="false"/>
          <w:i w:val="false"/>
          <w:iCs w:val="false"/>
          <w:color w:val="3A3A3A"/>
          <w:sz w:val="20"/>
          <w:szCs w:val="20"/>
        </w:rPr>
        <w:t xml:space="preserve">What that experience produced was not just technical knowledge. It was the specific, operational understanding of where the institutional tools fail the boutique market — not in capability, but in accessibility. Every year spent inside those systems was a year of watching the gap that Vektor was eventually built to close.</w:t>
      </w:r>
    </w:p>
    <w:p>
      <w:pPr>
        <w:spacing w:after="0" w:before="120"/>
      </w:pPr>
    </w:p>
    <w:p>
      <w:pPr>
        <w:pStyle w:val="Heading1"/>
        <w:pBdr>
          <w:bottom w:val="single" w:color="4A8C2A" w:sz="3" w:space="4"/>
        </w:pBdr>
        <w:spacing w:after="80" w:before="360"/>
      </w:pPr>
      <w:r>
        <w:rPr>
          <w:rFonts w:ascii="Arial" w:cs="Arial" w:eastAsia="Arial" w:hAnsi="Arial"/>
          <w:b/>
          <w:bCs/>
          <w:caps/>
          <w:color w:val="4A8C2A"/>
          <w:sz w:val="24"/>
          <w:szCs w:val="24"/>
        </w:rPr>
        <w:t xml:space="preserve">The CTO</w:t>
      </w:r>
    </w:p>
    <w:p>
      <w:pPr>
        <w:pBdr>
          <w:top w:val="dashed" w:color="E65100" w:sz="4" w:space="1"/>
          <w:bottom w:val="dashed" w:color="E65100" w:sz="4" w:space="1"/>
          <w:left w:val="dashed" w:color="E65100" w:sz="4" w:space="1"/>
          <w:right w:val="dashed" w:color="E65100" w:sz="4" w:space="1"/>
        </w:pBdr>
        <w:spacing w:after="60" w:before="60"/>
      </w:pPr>
      <w:r>
        <w:rPr>
          <w:rFonts w:ascii="Arial" w:cs="Arial" w:eastAsia="Arial" w:hAnsi="Arial"/>
          <w:b/>
          <w:bCs/>
          <w:color w:val="E65100"/>
          <w:sz w:val="19"/>
          <w:szCs w:val="19"/>
        </w:rPr>
        <w:t xml:space="preserve">⚠ PLACEHOLDER — </w:t>
      </w:r>
      <w:r>
        <w:rPr>
          <w:rFonts w:ascii="Arial" w:cs="Arial" w:eastAsia="Arial" w:hAnsi="Arial"/>
          <w:i/>
          <w:iCs/>
          <w:color w:val="E65100"/>
          <w:sz w:val="19"/>
          <w:szCs w:val="19"/>
        </w:rPr>
        <w:t xml:space="preserve">Insert CTO full background here. Key elements: technical career history, specific systems and platforms worked on, the OpenWealth API implementation work and technical depth, areas of specialisation, and what the CTO brings technically that the CEO cannot. The complementarity of the two profiles is the point — make it visible.</w:t>
      </w:r>
    </w:p>
    <w:p>
      <w:pPr>
        <w:spacing w:after="0" w:before="80"/>
      </w:pPr>
    </w:p>
    <w:p>
      <w:pPr>
        <w:spacing w:after="50" w:before="50" w:line="315" w:lineRule="auto"/>
      </w:pPr>
      <w:r>
        <w:rPr>
          <w:rFonts w:ascii="Arial" w:cs="Arial" w:eastAsia="Arial" w:hAnsi="Arial"/>
          <w:b w:val="false"/>
          <w:bCs w:val="false"/>
          <w:i w:val="false"/>
          <w:iCs w:val="false"/>
          <w:color w:val="3A3A3A"/>
          <w:sz w:val="20"/>
          <w:szCs w:val="20"/>
        </w:rPr>
        <w:t xml:space="preserve">The technical architecture of Vektor reflects this background directly. The decisions made before a line of code was written — the schema design, the service ownership model, the API layer, the audit trail — are decisions that can only be made well by someone who has operated inside production institutional systems at scale.</w:t>
      </w:r>
    </w:p>
    <w:p>
      <w:pPr>
        <w:spacing w:after="0" w:before="120"/>
      </w:pPr>
    </w:p>
    <w:p>
      <w:pPr>
        <w:pStyle w:val="Heading1"/>
        <w:pBdr>
          <w:bottom w:val="single" w:color="4A8C2A" w:sz="3" w:space="4"/>
        </w:pBdr>
        <w:spacing w:after="80" w:before="360"/>
      </w:pPr>
      <w:r>
        <w:rPr>
          <w:rFonts w:ascii="Arial" w:cs="Arial" w:eastAsia="Arial" w:hAnsi="Arial"/>
          <w:b/>
          <w:bCs/>
          <w:caps/>
          <w:color w:val="4A8C2A"/>
          <w:sz w:val="24"/>
          <w:szCs w:val="24"/>
        </w:rPr>
        <w:t xml:space="preserve">The Decade Between Them</w:t>
      </w:r>
    </w:p>
    <w:p>
      <w:pPr>
        <w:spacing w:after="50" w:before="50" w:line="315" w:lineRule="auto"/>
      </w:pPr>
      <w:r>
        <w:rPr>
          <w:rFonts w:ascii="Arial" w:cs="Arial" w:eastAsia="Arial" w:hAnsi="Arial"/>
          <w:b w:val="false"/>
          <w:bCs w:val="false"/>
          <w:i w:val="false"/>
          <w:iCs w:val="false"/>
          <w:color w:val="3A3A3A"/>
          <w:sz w:val="20"/>
          <w:szCs w:val="20"/>
        </w:rPr>
        <w:t xml:space="preserve">The CEO and CTO have worked together for over ten years. Not as colleagues in the background of the same organisation. As the people in the room, on the projects that mattered, under the pressure that tests whether a professional relationship holds or fractures.</w:t>
      </w:r>
    </w:p>
    <w:p>
      <w:pPr>
        <w:spacing w:after="0" w:before="80"/>
      </w:pPr>
    </w:p>
    <w:p>
      <w:pPr>
        <w:spacing w:after="50" w:before="50" w:line="315" w:lineRule="auto"/>
      </w:pPr>
      <w:r>
        <w:rPr>
          <w:rFonts w:ascii="Arial" w:cs="Arial" w:eastAsia="Arial" w:hAnsi="Arial"/>
          <w:b w:val="false"/>
          <w:bCs w:val="false"/>
          <w:i w:val="false"/>
          <w:iCs w:val="false"/>
          <w:color w:val="3A3A3A"/>
          <w:sz w:val="20"/>
          <w:szCs w:val="20"/>
        </w:rPr>
        <w:t xml:space="preserve">They have disagreed. They have resolved disagreements. They have been wrong and told each other so. They have been right under difficult circumstances and backed each other. Ten years of that is the governance structure that no shareholder agreement can fully replicate.</w:t>
      </w:r>
    </w:p>
    <w:p>
      <w:pPr>
        <w:spacing w:after="0" w:before="80"/>
      </w:pPr>
    </w:p>
    <w:p>
      <w:pPr>
        <w:pBdr>
          <w:top w:val="dashed" w:color="E65100" w:sz="4" w:space="1"/>
          <w:bottom w:val="dashed" w:color="E65100" w:sz="4" w:space="1"/>
          <w:left w:val="dashed" w:color="E65100" w:sz="4" w:space="1"/>
          <w:right w:val="dashed" w:color="E65100" w:sz="4" w:space="1"/>
        </w:pBdr>
        <w:spacing w:after="60" w:before="60"/>
      </w:pPr>
      <w:r>
        <w:rPr>
          <w:rFonts w:ascii="Arial" w:cs="Arial" w:eastAsia="Arial" w:hAnsi="Arial"/>
          <w:b/>
          <w:bCs/>
          <w:color w:val="E65100"/>
          <w:sz w:val="19"/>
          <w:szCs w:val="19"/>
        </w:rPr>
        <w:t xml:space="preserve">⚠ PLACEHOLDER — </w:t>
      </w:r>
      <w:r>
        <w:rPr>
          <w:rFonts w:ascii="Arial" w:cs="Arial" w:eastAsia="Arial" w:hAnsi="Arial"/>
          <w:i/>
          <w:iCs/>
          <w:color w:val="E65100"/>
          <w:sz w:val="19"/>
          <w:szCs w:val="19"/>
        </w:rPr>
        <w:t xml:space="preserve">Add one or two specific (but appropriately anonymised) examples of projects or moments that illustrate the working relationship — a difficult delivery, a disagreement resolved well, a shared success. Not named clients or employers. The shape of the story.</w:t>
      </w:r>
    </w:p>
    <w:p>
      <w:pPr>
        <w:spacing w:after="0" w:before="80"/>
      </w:pPr>
    </w:p>
    <w:p>
      <w:pPr>
        <w:spacing w:after="50" w:before="50" w:line="315" w:lineRule="auto"/>
      </w:pPr>
      <w:r>
        <w:rPr>
          <w:rFonts w:ascii="Arial" w:cs="Arial" w:eastAsia="Arial" w:hAnsi="Arial"/>
          <w:b w:val="false"/>
          <w:bCs w:val="false"/>
          <w:i w:val="false"/>
          <w:iCs w:val="false"/>
          <w:color w:val="3A3A3A"/>
          <w:sz w:val="20"/>
          <w:szCs w:val="20"/>
        </w:rPr>
        <w:t xml:space="preserve">The equal ownership and equal voice between them is not a compromise structure. It is the right structure for two people who have demonstrated for a decade that they can hold disagreement without conflict and make decisions without deadlock. The governance follows the relationship. It is not prior to it.</w:t>
      </w:r>
    </w:p>
    <w:p>
      <w:pPr>
        <w:spacing w:after="0" w:before="120"/>
      </w:pPr>
    </w:p>
    <w:p>
      <w:pPr>
        <w:pStyle w:val="Heading1"/>
        <w:pBdr>
          <w:bottom w:val="single" w:color="4A8C2A" w:sz="3" w:space="4"/>
        </w:pBdr>
        <w:spacing w:after="80" w:before="360"/>
      </w:pPr>
      <w:r>
        <w:rPr>
          <w:rFonts w:ascii="Arial" w:cs="Arial" w:eastAsia="Arial" w:hAnsi="Arial"/>
          <w:b/>
          <w:bCs/>
          <w:caps/>
          <w:color w:val="4A8C2A"/>
          <w:sz w:val="24"/>
          <w:szCs w:val="24"/>
        </w:rPr>
        <w:t xml:space="preserve">The Pre-Launch Team</w:t>
      </w:r>
    </w:p>
    <w:p>
      <w:pPr>
        <w:spacing w:after="50" w:before="50" w:line="315" w:lineRule="auto"/>
      </w:pPr>
      <w:r>
        <w:rPr>
          <w:rFonts w:ascii="Arial" w:cs="Arial" w:eastAsia="Arial" w:hAnsi="Arial"/>
          <w:b w:val="false"/>
          <w:bCs w:val="false"/>
          <w:i w:val="false"/>
          <w:iCs w:val="false"/>
          <w:color w:val="3A3A3A"/>
          <w:sz w:val="20"/>
          <w:szCs w:val="20"/>
        </w:rPr>
        <w:t xml:space="preserve">Three collaborators complete the founding team. Each has worked with one or both of the founders over careers spent in the same institutional environment. They did not join because the company was forming. They joined because they shared the same conviction, arrived at independently, over the same years.</w:t>
      </w:r>
    </w:p>
    <w:p>
      <w:pPr>
        <w:spacing w:after="0" w:before="80"/>
      </w:pPr>
    </w:p>
    <w:p>
      <w:pPr>
        <w:pBdr>
          <w:top w:val="dashed" w:color="E65100" w:sz="4" w:space="1"/>
          <w:bottom w:val="dashed" w:color="E65100" w:sz="4" w:space="1"/>
          <w:left w:val="dashed" w:color="E65100" w:sz="4" w:space="1"/>
          <w:right w:val="dashed" w:color="E65100" w:sz="4" w:space="1"/>
        </w:pBdr>
        <w:spacing w:after="60" w:before="60"/>
      </w:pPr>
      <w:r>
        <w:rPr>
          <w:rFonts w:ascii="Arial" w:cs="Arial" w:eastAsia="Arial" w:hAnsi="Arial"/>
          <w:b/>
          <w:bCs/>
          <w:color w:val="E65100"/>
          <w:sz w:val="19"/>
          <w:szCs w:val="19"/>
        </w:rPr>
        <w:t xml:space="preserve">⚠ PLACEHOLDER — </w:t>
      </w:r>
      <w:r>
        <w:rPr>
          <w:rFonts w:ascii="Arial" w:cs="Arial" w:eastAsia="Arial" w:hAnsi="Arial"/>
          <w:i/>
          <w:iCs/>
          <w:color w:val="E65100"/>
          <w:sz w:val="19"/>
          <w:szCs w:val="19"/>
        </w:rPr>
        <w:t xml:space="preserve">Insert the three collaborators' backgrounds here. For each: their professional history, how they know the CEO and/or CTO, what they are contributing to the build, and the specific experience that makes their involvement credible. The framing: not ‘we found qualified people’ but ‘these are people who have been part of this story for years without knowing it was a story.’</w:t>
      </w:r>
    </w:p>
    <w:p>
      <w:pPr>
        <w:spacing w:after="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AABCD4" w:sz="1"/>
              <w:left w:val="single" w:color="4A8C2A" w:sz="12"/>
              <w:bottom w:val="single" w:color="AABCD4" w:sz="1"/>
              <w:right w:val="single" w:color="AABCD4" w:sz="1"/>
            </w:tcBorders>
            <w:shd w:fill="F2F7EE"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Five people. Decades of shared institutional experience.</w:t>
            </w:r>
          </w:p>
        </w:tc>
      </w:tr>
      <w:tr>
        <w:tc>
          <w:tcPr>
            <w:tcW w:type="dxa" w:w="8600"/>
            <w:tcBorders>
              <w:top w:val="single" w:color="AABCD4" w:sz="1"/>
              <w:left w:val="single" w:color="4A8C2A" w:sz="12"/>
              <w:bottom w:val="single" w:color="AABCD4" w:sz="1"/>
              <w:right w:val="single" w:color="AABCD4" w:sz="1"/>
            </w:tcBorders>
            <w:shd w:fill="F2F7EE"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Not assembled for credentials. Formed in practice over careers.</w:t>
            </w:r>
          </w:p>
        </w:tc>
      </w:tr>
      <w:tr>
        <w:tc>
          <w:tcPr>
            <w:tcW w:type="dxa" w:w="8600"/>
            <w:tcBorders>
              <w:top w:val="single" w:color="AABCD4" w:sz="1"/>
              <w:left w:val="single" w:color="4A8C2A" w:sz="12"/>
              <w:bottom w:val="single" w:color="AABCD4" w:sz="1"/>
              <w:right w:val="single" w:color="AABCD4" w:sz="1"/>
            </w:tcBorders>
            <w:shd w:fill="F2F7EE" w:val="clear"/>
            <w:tcMar>
              <w:top w:type="dxa" w:w="90"/>
              <w:left w:type="dxa" w:w="200"/>
              <w:bottom w:type="dxa" w:w="90"/>
              <w:right w:type="dxa" w:w="140"/>
            </w:tcMar>
          </w:tcPr>
          <w:p>
            <w:pPr>
              <w:spacing w:after="30" w:before="30"/>
            </w:pPr>
            <w:r>
              <w:rPr>
                <w:rFonts w:ascii="Arial" w:cs="Arial" w:eastAsia="Arial" w:hAnsi="Arial"/>
                <w:color w:val="1A1A1A"/>
                <w:sz w:val="20"/>
                <w:szCs w:val="20"/>
              </w:rPr>
              <w:t xml:space="preserve">All five arrived at the same conviction independently.</w:t>
            </w:r>
          </w:p>
        </w:tc>
      </w:tr>
    </w:tbl>
    <w:p>
      <w:pPr>
        <w:spacing w:after="0" w:before="120"/>
      </w:pPr>
    </w:p>
    <w:p>
      <w:pPr>
        <w:pStyle w:val="Heading1"/>
        <w:pBdr>
          <w:bottom w:val="single" w:color="4A8C2A" w:sz="3" w:space="4"/>
        </w:pBdr>
        <w:spacing w:after="80" w:before="360"/>
      </w:pPr>
      <w:r>
        <w:rPr>
          <w:rFonts w:ascii="Arial" w:cs="Arial" w:eastAsia="Arial" w:hAnsi="Arial"/>
          <w:b/>
          <w:bCs/>
          <w:caps/>
          <w:color w:val="4A8C2A"/>
          <w:sz w:val="24"/>
          <w:szCs w:val="24"/>
        </w:rPr>
        <w:t xml:space="preserve">Why Now</w:t>
      </w:r>
    </w:p>
    <w:p>
      <w:pPr>
        <w:spacing w:after="50" w:before="50" w:line="315" w:lineRule="auto"/>
      </w:pPr>
      <w:r>
        <w:rPr>
          <w:rFonts w:ascii="Arial" w:cs="Arial" w:eastAsia="Arial" w:hAnsi="Arial"/>
          <w:b w:val="false"/>
          <w:bCs w:val="false"/>
          <w:i w:val="false"/>
          <w:iCs w:val="false"/>
          <w:color w:val="3A3A3A"/>
          <w:sz w:val="20"/>
          <w:szCs w:val="20"/>
        </w:rPr>
        <w:t xml:space="preserve">The gap we are building Vektor to close has existed for years. The question of why now has a specific answer.</w:t>
      </w:r>
    </w:p>
    <w:p>
      <w:pPr>
        <w:spacing w:after="0" w:before="80"/>
      </w:pPr>
    </w:p>
    <w:p>
      <w:pPr>
        <w:pStyle w:val="ListParagraph"/>
        <w:numPr>
          <w:ilvl w:val="0"/>
          <w:numId w:val="2"/>
        </w:numPr>
        <w:spacing w:after="55" w:before="55" w:line="295" w:lineRule="auto"/>
      </w:pPr>
      <w:r>
        <w:rPr>
          <w:rFonts w:ascii="Arial" w:cs="Arial" w:eastAsia="Arial" w:hAnsi="Arial"/>
          <w:color w:val="3A3A3A"/>
          <w:sz w:val="20"/>
          <w:szCs w:val="20"/>
        </w:rPr>
        <w:t xml:space="preserve">The regulatory environment in Singapore, Switzerland, and the UK is moving toward requiring systematic, documented investment processes from licensed managers. The compliance demand for what Vektor provides is acute and growing.</w:t>
      </w:r>
    </w:p>
    <w:p>
      <w:pPr>
        <w:pStyle w:val="ListParagraph"/>
        <w:numPr>
          <w:ilvl w:val="0"/>
          <w:numId w:val="2"/>
        </w:numPr>
        <w:spacing w:after="55" w:before="55" w:line="295" w:lineRule="auto"/>
      </w:pPr>
      <w:r>
        <w:rPr>
          <w:rFonts w:ascii="Arial" w:cs="Arial" w:eastAsia="Arial" w:hAnsi="Arial"/>
          <w:color w:val="3A3A3A"/>
          <w:sz w:val="20"/>
          <w:szCs w:val="20"/>
        </w:rPr>
        <w:t xml:space="preserve">The OpenWealth standard has reached a level of institutional adoption that makes API-based integration with custodian bank infrastructure genuinely tractable. Two years ago, this was an aspiration. Today it is a project.</w:t>
      </w:r>
    </w:p>
    <w:p>
      <w:pPr>
        <w:pStyle w:val="ListParagraph"/>
        <w:numPr>
          <w:ilvl w:val="0"/>
          <w:numId w:val="2"/>
        </w:numPr>
        <w:spacing w:after="55" w:before="55" w:line="295" w:lineRule="auto"/>
      </w:pPr>
      <w:r>
        <w:rPr>
          <w:rFonts w:ascii="Arial" w:cs="Arial" w:eastAsia="Arial" w:hAnsi="Arial"/>
          <w:color w:val="3A3A3A"/>
          <w:sz w:val="20"/>
          <w:szCs w:val="20"/>
        </w:rPr>
        <w:t xml:space="preserve">The founding team’s combined experience now includes production implementation of the OpenWealth API layer on one of the market’s leading PMS platforms. The institutional channel is technically credible from the first conversation in a way it could not have been without that specific credential.</w:t>
      </w:r>
    </w:p>
    <w:p>
      <w:pPr>
        <w:pStyle w:val="ListParagraph"/>
        <w:numPr>
          <w:ilvl w:val="0"/>
          <w:numId w:val="2"/>
        </w:numPr>
        <w:spacing w:after="55" w:before="55" w:line="295" w:lineRule="auto"/>
      </w:pPr>
      <w:r>
        <w:rPr>
          <w:rFonts w:ascii="Arial" w:cs="Arial" w:eastAsia="Arial" w:hAnsi="Arial"/>
          <w:color w:val="3A3A3A"/>
          <w:sz w:val="20"/>
          <w:szCs w:val="20"/>
        </w:rPr>
        <w:t xml:space="preserve">The two of us, with the pre-launch team, are at a moment in our careers where we have the knowledge, the network, and the capacity to build this — and where the cost of not building it is too high to accept.</w:t>
      </w:r>
    </w:p>
    <w:p>
      <w:pPr>
        <w:spacing w:after="0" w:before="120"/>
      </w:pPr>
    </w:p>
    <w:p>
      <w:pPr>
        <w:pBdr>
          <w:bottom w:val="single" w:color="4A8C2A" w:sz="6" w:space="1"/>
        </w:pBdr>
        <w:spacing w:after="180" w:before="0"/>
      </w:pPr>
    </w:p>
    <w:p>
      <w:pPr>
        <w:spacing w:after="0" w:before="100"/>
      </w:pPr>
    </w:p>
    <w:p>
      <w:pPr>
        <w:spacing w:after="60" w:before="0"/>
      </w:pPr>
      <w:r>
        <w:rPr>
          <w:rFonts w:ascii="Arial" w:cs="Arial" w:eastAsia="Arial" w:hAnsi="Arial"/>
          <w:b/>
          <w:bCs/>
          <w:i/>
          <w:iCs/>
          <w:color w:val="1A1A1A"/>
          <w:sz w:val="21"/>
          <w:szCs w:val="21"/>
        </w:rPr>
        <w:t xml:space="preserve">The whole is greater than the sum of the parts.</w:t>
      </w:r>
    </w:p>
    <w:p>
      <w:pPr>
        <w:spacing w:after="0" w:before="40"/>
      </w:pPr>
    </w:p>
    <w:p>
      <w:pPr>
        <w:spacing w:after="60" w:before="0"/>
      </w:pPr>
      <w:r>
        <w:rPr>
          <w:rFonts w:ascii="Arial" w:cs="Arial" w:eastAsia="Arial" w:hAnsi="Arial"/>
          <w:color w:val="3A3A3A"/>
          <w:sz w:val="20"/>
          <w:szCs w:val="20"/>
        </w:rPr>
        <w:t xml:space="preserve">That is the co-founder relationship. It is also the product thesis. And it is the founding team.</w:t>
      </w:r>
    </w:p>
    <w:p>
      <w:pPr>
        <w:spacing w:after="0" w:before="60"/>
      </w:pPr>
    </w:p>
    <w:p>
      <w:pPr>
        <w:spacing w:after="0" w:before="0"/>
      </w:pPr>
      <w:r>
        <w:rPr>
          <w:rFonts w:ascii="Arial" w:cs="Arial" w:eastAsia="Arial" w:hAnsi="Arial"/>
          <w:color w:val="CCCCCC"/>
          <w:sz w:val="17"/>
          <w:szCs w:val="17"/>
        </w:rPr>
        <w:t xml:space="preserve">InvestPuppy · investpuppy.com · contact@investpuppy.com</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tabs>
        <w:tab w:val="right" w:pos="8600"/>
      </w:tabs>
      <w:spacing w:after="0" w:before="120"/>
    </w:pPr>
    <w:r>
      <w:rPr>
        <w:rFonts w:ascii="Arial" w:cs="Arial" w:eastAsia="Arial" w:hAnsi="Arial"/>
        <w:i/>
        <w:iCs/>
        <w:color w:val="CCCCCC"/>
        <w:sz w:val="14"/>
        <w:szCs w:val="14"/>
      </w:rPr>
      <w:t xml:space="preserve">Tier 3 · NDA Required · Not for distribution</w:t>
    </w:r>
    <w:r>
      <w:rPr>
        <w:rFonts w:ascii="Arial" w:cs="Arial" w:eastAsia="Arial" w:hAnsi="Arial"/>
        <w:color w:val="CCCCCC"/>
        <w:sz w:val="14"/>
        <w:szCs w:val="14"/>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8C2A" w:sz="4" w:space="1"/>
      </w:pBdr>
      <w:tabs>
        <w:tab w:val="right" w:pos="8600"/>
      </w:tabs>
      <w:spacing w:after="120" w:before="0"/>
    </w:pPr>
    <w:r>
      <w:rPr>
        <w:rFonts w:ascii="Arial" w:cs="Arial" w:eastAsia="Arial" w:hAnsi="Arial"/>
        <w:b/>
        <w:bCs/>
        <w:color w:val="4A8C2A"/>
        <w:sz w:val="15"/>
        <w:szCs w:val="15"/>
      </w:rPr>
      <w:t xml:space="preserve">InvestPuppy · Founder Story</w:t>
    </w:r>
    <w:r>
      <w:rPr>
        <w:rFonts w:ascii="Arial" w:cs="Arial" w:eastAsia="Arial" w:hAnsi="Arial"/>
        <w:color w:val="CCCCCC"/>
        <w:sz w:val="14"/>
        <w:szCs w:val="14"/>
      </w:rPr>
      <w:t xml:space="preserve">	CONFIDENTIAL · NDA Recipients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aps/>
      <w:color w:val="4A8C2A"/>
      <w:sz w:val="24"/>
      <w:szCs w:val="24"/>
    </w:rPr>
  </w:style>
  <w:style w:type="paragraph" w:styleId="Heading2">
    <w:name w:val="Heading 2"/>
    <w:basedOn w:val="Normal"/>
    <w:next w:val="Normal"/>
    <w:qFormat/>
    <w:pPr>
      <w:spacing w:after="60" w:before="240"/>
      <w:outlineLvl w:val="1"/>
    </w:pPr>
    <w:rPr>
      <w:rFonts w:ascii="Arial" w:cs="Arial" w:eastAsia="Arial" w:hAnsi="Arial"/>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2026-05-12T15:59:12.240Z</dcterms:created>
  <dcterms:modified xsi:type="dcterms:W3CDTF">2026-05-12T15:59:12.241Z</dcterms:modified>
</cp:coreProperties>
</file>

<file path=docProps/custom.xml><?xml version="1.0" encoding="utf-8"?>
<Properties xmlns="http://schemas.openxmlformats.org/officeDocument/2006/custom-properties" xmlns:vt="http://schemas.openxmlformats.org/officeDocument/2006/docPropsVTypes"/>
</file>