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p>
      <w:pPr>
        <w:spacing w:after="30" w:before="0"/>
      </w:pPr>
      <w:r>
        <w:rPr>
          <w:rFonts w:ascii="Arial" w:cs="Arial" w:eastAsia="Arial" w:hAnsi="Arial"/>
          <w:b/>
          <w:bCs/>
          <w:caps/>
          <w:color w:val="C8A96E"/>
          <w:sz w:val="13"/>
          <w:szCs w:val="13"/>
        </w:rPr>
        <w:t xml:space="preserve">INVESTPUPPY · SESSION HANDOFF B</w:t>
      </w:r>
    </w:p>
    <w:p>
      <w:pPr>
        <w:spacing w:after="40" w:before="0"/>
      </w:pPr>
      <w:r>
        <w:rPr>
          <w:rFonts w:ascii="Arial" w:cs="Arial" w:eastAsia="Arial" w:hAnsi="Arial"/>
          <w:b/>
          <w:bCs/>
          <w:color w:val="1A1A1A"/>
          <w:sz w:val="32"/>
          <w:szCs w:val="32"/>
        </w:rPr>
        <w:t xml:space="preserve">Sub-brand Architecture, Documentation Principles,
Data Residency and Product Architecture</w:t>
      </w:r>
    </w:p>
    <w:p>
      <w:pPr>
        <w:spacing w:after="30" w:before="0"/>
      </w:pPr>
      <w:r>
        <w:rPr>
          <w:rFonts w:ascii="Arial" w:cs="Arial" w:eastAsia="Arial" w:hAnsi="Arial"/>
          <w:color w:val="C8A96E"/>
          <w:sz w:val="18"/>
          <w:szCs w:val="18"/>
        </w:rPr>
        <w:t xml:space="preserve">IP-HANDOFF-260513-B · May 2026 · Continuation of IP-HANDOFF-260513-1.0</w:t>
      </w:r>
    </w:p>
    <w:p>
      <w:pPr>
        <w:spacing w:after="0" w:before="0"/>
      </w:pPr>
      <w:r>
        <w:rPr>
          <w:rFonts w:ascii="Arial" w:cs="Arial" w:eastAsia="Arial" w:hAnsi="Arial"/>
          <w:color w:val="666666"/>
          <w:sz w:val="16"/>
          <w:szCs w:val="16"/>
        </w:rPr>
        <w:t xml:space="preserve">Internal only · Not for distribution · Read alongside HANDOFF-260513-1.0</w:t>
      </w:r>
    </w:p>
    <w:p>
      <w:pPr>
        <w:pBdr>
          <w:bottom w:val="single" w:color="1A3A5C" w:sz="8" w:space="1"/>
        </w:pBdr>
        <w:spacing w:after="120" w:before="0"/>
      </w:pPr>
    </w:p>
    <w:p>
      <w:pPr>
        <w:spacing w:after="0" w:before="40"/>
      </w:pPr>
    </w:p>
    <w:p>
      <w:pPr>
        <w:spacing w:after="40" w:before="40" w:line="310" w:lineRule="auto"/>
      </w:pPr>
      <w:r>
        <w:rPr>
          <w:rFonts w:ascii="Arial" w:cs="Arial" w:eastAsia="Arial" w:hAnsi="Arial"/>
          <w:b w:val="false"/>
          <w:bCs w:val="false"/>
          <w:i/>
          <w:iCs/>
          <w:color w:val="333333"/>
          <w:sz w:val="20"/>
          <w:szCs w:val="20"/>
        </w:rPr>
        <w:t xml:space="preserve">Upload both HANDOFF-260513-1.0.md and this file with the repo zip to start the next session.</w:t>
      </w:r>
    </w:p>
    <w:p>
      <w:pPr>
        <w:spacing w:after="0" w:before="30"/>
      </w:pPr>
    </w:p>
    <w:p>
      <w:pPr>
        <w:pBdr>
          <w:left w:val="single" w:color="C62828" w:sz="12" w:space="6"/>
        </w:pBdr>
        <w:shd w:fill="FFF8F8" w:val="clear"/>
        <w:spacing w:after="40" w:before="40"/>
      </w:pPr>
      <w:r>
        <w:rPr>
          <w:rFonts w:ascii="Arial" w:cs="Arial" w:eastAsia="Arial" w:hAnsi="Arial"/>
          <w:b/>
          <w:bCs/>
          <w:color w:val="C62828"/>
          <w:sz w:val="18"/>
          <w:szCs w:val="18"/>
        </w:rPr>
        <w:t xml:space="preserve">⚠ Commercial priority unchanged: first Founding Mandate conversation still not started. The suite is complete. The architecture is resolved. This is overdue.</w:t>
      </w:r>
    </w:p>
    <w:p>
      <w:pPr>
        <w:pStyle w:val="Heading1"/>
        <w:pBdr>
          <w:bottom w:val="single" w:color="1A3A5C" w:sz="3" w:space="4"/>
        </w:pBdr>
        <w:spacing w:after="80" w:before="320"/>
      </w:pPr>
      <w:r>
        <w:rPr>
          <w:rFonts w:ascii="Arial" w:cs="Arial" w:eastAsia="Arial" w:hAnsi="Arial"/>
          <w:b/>
          <w:bCs/>
          <w:caps/>
          <w:color w:val="1A3A5C"/>
          <w:sz w:val="24"/>
          <w:szCs w:val="24"/>
        </w:rPr>
        <w:t xml:space="preserve">Part 1 · Sub-brand Architecture</w:t>
      </w:r>
    </w:p>
    <w:p>
      <w:pPr>
        <w:pStyle w:val="Heading2"/>
        <w:spacing w:after="60" w:before="220"/>
      </w:pPr>
      <w:r>
        <w:rPr>
          <w:rFonts w:ascii="Arial" w:cs="Arial" w:eastAsia="Arial" w:hAnsi="Arial"/>
          <w:b/>
          <w:bCs/>
          <w:color w:val="1A1A1A"/>
          <w:sz w:val="21"/>
          <w:szCs w:val="21"/>
        </w:rPr>
        <w:t xml:space="preserve">Locked names</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180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Sub-brand</w:t>
            </w:r>
          </w:p>
        </w:tc>
        <w:tc>
          <w:tcPr>
            <w:tcW w:type="dxa" w:w="18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Channel</w:t>
            </w:r>
          </w:p>
        </w:tc>
        <w:tc>
          <w:tcPr>
            <w:tcW w:type="dxa" w:w="32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Target</w:t>
            </w:r>
          </w:p>
        </w:tc>
        <w:tc>
          <w:tcPr>
            <w:tcW w:type="dxa" w:w="18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Scale</w:t>
            </w:r>
          </w:p>
        </w:tc>
      </w:tr>
      <w:tr>
        <w:tc>
          <w:tcPr>
            <w:tcW w:type="dxa" w:w="20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Vektor : Boutique</w:t>
            </w:r>
          </w:p>
        </w:tc>
        <w:tc>
          <w:tcPr>
            <w:tcW w:type="dxa" w:w="1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Direct</w:t>
            </w:r>
          </w:p>
        </w:tc>
        <w:tc>
          <w:tcPr>
            <w:tcW w:type="dxa" w:w="3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Boutique DPMs, EAMs, independent wealth managers, family offices</w:t>
            </w:r>
          </w:p>
        </w:tc>
        <w:tc>
          <w:tcPr>
            <w:tcW w:type="dxa" w:w="1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Practitioner</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Vektor : House</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Direct</w:t>
            </w:r>
          </w:p>
        </w:tc>
        <w:tc>
          <w:tcPr>
            <w:tcW w:type="dxa" w:w="3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Institutional family offices, larger DPM firms, mid-size asset managers</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Institutional</w:t>
            </w:r>
          </w:p>
        </w:tc>
      </w:tr>
      <w:tr>
        <w:tc>
          <w:tcPr>
            <w:tcW w:type="dxa" w:w="20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Vektor : Wrapped</w:t>
            </w:r>
          </w:p>
        </w:tc>
        <w:tc>
          <w:tcPr>
            <w:tcW w:type="dxa" w:w="1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Intermediated licensing</w:t>
            </w:r>
          </w:p>
        </w:tc>
        <w:tc>
          <w:tcPr>
            <w:tcW w:type="dxa" w:w="3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Custodian banks and wealth platforms licensing Vektor for their EAM clients</w:t>
            </w:r>
          </w:p>
        </w:tc>
        <w:tc>
          <w:tcPr>
            <w:tcW w:type="dxa" w:w="1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Any</w:t>
            </w:r>
          </w:p>
        </w:tc>
      </w:tr>
    </w:tbl>
    <w:p>
      <w:pPr>
        <w:spacing w:after="0" w:before="80"/>
      </w:pPr>
    </w:p>
    <w:p>
      <w:pPr>
        <w:pBdr>
          <w:left w:val="single" w:color="C8A96E" w:sz="12" w:space="6"/>
        </w:pBdr>
        <w:shd w:fill="FDF9F2" w:val="clear"/>
        <w:spacing w:after="40" w:before="40"/>
        <w:ind w:left="400"/>
      </w:pPr>
      <w:r>
        <w:rPr>
          <w:rFonts w:ascii="Arial" w:cs="Arial" w:eastAsia="Arial" w:hAnsi="Arial"/>
          <w:i/>
          <w:iCs/>
          <w:color w:val="666666"/>
          <w:sz w:val="18"/>
          <w:szCs w:val="18"/>
        </w:rPr>
        <w:t xml:space="preserve">Typography rule: colon with preceding space in every use, every document, every market. French/Swiss typographic convention as a deliberate brand decision. Not a localisation variant. No exceptions.</w:t>
      </w:r>
    </w:p>
    <w:p>
      <w:pPr>
        <w:spacing w:after="0" w:before="80"/>
      </w:pPr>
    </w:p>
    <w:p>
      <w:pPr>
        <w:pStyle w:val="Heading2"/>
        <w:spacing w:after="60" w:before="220"/>
      </w:pPr>
      <w:r>
        <w:rPr>
          <w:rFonts w:ascii="Arial" w:cs="Arial" w:eastAsia="Arial" w:hAnsi="Arial"/>
          <w:b/>
          <w:bCs/>
          <w:color w:val="1A1A1A"/>
          <w:sz w:val="21"/>
          <w:szCs w:val="21"/>
        </w:rPr>
        <w:t xml:space="preserve">The Founding Principle</w:t>
      </w:r>
    </w:p>
    <w:p>
      <w:pPr>
        <w:spacing w:after="40" w:before="40" w:line="310" w:lineRule="auto"/>
      </w:pPr>
      <w:r>
        <w:rPr>
          <w:rFonts w:ascii="Arial" w:cs="Arial" w:eastAsia="Arial" w:hAnsi="Arial"/>
          <w:b w:val="false"/>
          <w:bCs w:val="false"/>
          <w:i w:val="false"/>
          <w:iCs w:val="false"/>
          <w:color w:val="333333"/>
          <w:sz w:val="20"/>
          <w:szCs w:val="20"/>
        </w:rPr>
        <w:t xml:space="preserve">Vektor is one product available through three delivery models. The methodology, signal generation, ML validation layer, portfolio construction logic, and audit trail are identical in every deployment. The delivery model determines the commercial relationship, deployment architecture, and support model. It does not determine quality, capability, or scope.</w:t>
      </w:r>
    </w:p>
    <w:p>
      <w:pPr>
        <w:spacing w:after="0" w:before="80"/>
      </w:pPr>
    </w:p>
    <w:p>
      <w:pPr>
        <w:pStyle w:val="Heading2"/>
        <w:spacing w:after="60" w:before="220"/>
      </w:pPr>
      <w:r>
        <w:rPr>
          <w:rFonts w:ascii="Arial" w:cs="Arial" w:eastAsia="Arial" w:hAnsi="Arial"/>
          <w:b/>
          <w:bCs/>
          <w:color w:val="1A1A1A"/>
          <w:sz w:val="21"/>
          <w:szCs w:val="21"/>
        </w:rPr>
        <w:t xml:space="preserve">Three-Entity Commercial Framework</w:t>
      </w:r>
    </w:p>
    <w:p>
      <w:pPr>
        <w:pStyle w:val="ListParagraph"/>
        <w:numPr>
          <w:ilvl w:val="0"/>
          <w:numId w:val="2"/>
        </w:numPr>
        <w:spacing w:after="50" w:before="50" w:line="295" w:lineRule="auto"/>
      </w:pPr>
      <w:r>
        <w:rPr>
          <w:rFonts w:ascii="Arial" w:cs="Arial" w:eastAsia="Arial" w:hAnsi="Arial"/>
          <w:b/>
          <w:bCs/>
          <w:color w:val="1A1A1A"/>
          <w:sz w:val="20"/>
          <w:szCs w:val="20"/>
        </w:rPr>
        <w:t xml:space="preserve">The Partner </w:t>
      </w:r>
      <w:r>
        <w:rPr>
          <w:rFonts w:ascii="Arial" w:cs="Arial" w:eastAsia="Arial" w:hAnsi="Arial"/>
          <w:b w:val="false"/>
          <w:bCs w:val="false"/>
          <w:color w:val="333333"/>
          <w:sz w:val="20"/>
          <w:szCs w:val="20"/>
        </w:rPr>
        <w:t xml:space="preserve">— the custodian bank or wealth platform licensing Vektor : Wrapped. Direct commercial relationship with InvestPuppy. Pays platform licence and per-mandate fee.</w:t>
      </w:r>
    </w:p>
    <w:p>
      <w:pPr>
        <w:pStyle w:val="ListParagraph"/>
        <w:numPr>
          <w:ilvl w:val="0"/>
          <w:numId w:val="2"/>
        </w:numPr>
        <w:spacing w:after="50" w:before="50" w:line="295" w:lineRule="auto"/>
      </w:pPr>
      <w:r>
        <w:rPr>
          <w:rFonts w:ascii="Arial" w:cs="Arial" w:eastAsia="Arial" w:hAnsi="Arial"/>
          <w:b/>
          <w:bCs/>
          <w:color w:val="1A1A1A"/>
          <w:sz w:val="20"/>
          <w:szCs w:val="20"/>
        </w:rPr>
        <w:t xml:space="preserve">The End User </w:t>
      </w:r>
      <w:r>
        <w:rPr>
          <w:rFonts w:ascii="Arial" w:cs="Arial" w:eastAsia="Arial" w:hAnsi="Arial"/>
          <w:b w:val="false"/>
          <w:bCs w:val="false"/>
          <w:color w:val="333333"/>
          <w:sz w:val="20"/>
          <w:szCs w:val="20"/>
        </w:rPr>
        <w:t xml:space="preserve">— EAM or family office accessing Vektor through a Partner bank. No direct relationship with InvestPuppy. Requires an onboarding guide, not a pitch document.</w:t>
      </w:r>
    </w:p>
    <w:p>
      <w:pPr>
        <w:pStyle w:val="ListParagraph"/>
        <w:numPr>
          <w:ilvl w:val="0"/>
          <w:numId w:val="2"/>
        </w:numPr>
        <w:spacing w:after="50" w:before="50" w:line="295" w:lineRule="auto"/>
      </w:pPr>
      <w:r>
        <w:rPr>
          <w:rFonts w:ascii="Arial" w:cs="Arial" w:eastAsia="Arial" w:hAnsi="Arial"/>
          <w:b/>
          <w:bCs/>
          <w:color w:val="1A1A1A"/>
          <w:sz w:val="20"/>
          <w:szCs w:val="20"/>
        </w:rPr>
        <w:t xml:space="preserve">Direct clients </w:t>
      </w:r>
      <w:r>
        <w:rPr>
          <w:rFonts w:ascii="Arial" w:cs="Arial" w:eastAsia="Arial" w:hAnsi="Arial"/>
          <w:b w:val="false"/>
          <w:bCs w:val="false"/>
          <w:color w:val="333333"/>
          <w:sz w:val="20"/>
          <w:szCs w:val="20"/>
        </w:rPr>
        <w:t xml:space="preserve">— Boutique and House subscribers. Direct InvestPuppy relationships.</w:t>
      </w:r>
    </w:p>
    <w:p>
      <w:pPr>
        <w:spacing w:after="0" w:before="80"/>
      </w:pPr>
    </w:p>
    <w:p>
      <w:pPr>
        <w:pStyle w:val="Heading2"/>
        <w:spacing w:after="60" w:before="220"/>
      </w:pPr>
      <w:r>
        <w:rPr>
          <w:rFonts w:ascii="Arial" w:cs="Arial" w:eastAsia="Arial" w:hAnsi="Arial"/>
          <w:b/>
          <w:bCs/>
          <w:color w:val="1A1A1A"/>
          <w:sz w:val="21"/>
          <w:szCs w:val="21"/>
        </w:rPr>
        <w:t xml:space="preserve">Dual-Channel Institution</w:t>
      </w:r>
    </w:p>
    <w:p>
      <w:pPr>
        <w:spacing w:after="40" w:before="40" w:line="310" w:lineRule="auto"/>
      </w:pPr>
      <w:r>
        <w:rPr>
          <w:rFonts w:ascii="Arial" w:cs="Arial" w:eastAsia="Arial" w:hAnsi="Arial"/>
          <w:b w:val="false"/>
          <w:bCs w:val="false"/>
          <w:i w:val="false"/>
          <w:iCs w:val="false"/>
          <w:color w:val="333333"/>
          <w:sz w:val="20"/>
          <w:szCs w:val="20"/>
        </w:rPr>
        <w:t xml:space="preserve">A single institution may simultaneously be a Vektor : House client and a Vektor : Wrapped licensee. Governed by: one master agreement with two schedules, two operationally isolated deployments (non-negotiable), powered-by Vektor attribution as default, strategic partnership recognition.</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bCs/>
                <w:color w:val="1A1A1A"/>
                <w:sz w:val="18"/>
                <w:szCs w:val="18"/>
              </w:rPr>
              <w:t xml:space="preserve">Conflict of interest position</w:t>
            </w:r>
          </w:p>
        </w:tc>
        <w:tc>
          <w:tcPr>
            <w:tcW w:type="dxa" w:w="60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color w:val="333333"/>
                <w:sz w:val="18"/>
                <w:szCs w:val="18"/>
              </w:rPr>
              <w:t xml:space="preserve">Signal isolation is structural. Crowded trade risk is a market structure question. Chinese wall obligations belong to the institution. InvestPuppy enforces operational data isolation.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8"/>
                <w:szCs w:val="18"/>
              </w:rPr>
              <w:t xml:space="preserve">Commercial model</w:t>
            </w:r>
          </w:p>
        </w:tc>
        <w:tc>
          <w:tcPr>
            <w:tcW w:type="dxa" w:w="6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333333"/>
                <w:sz w:val="18"/>
                <w:szCs w:val="18"/>
              </w:rPr>
              <w:t xml:space="preserve">One master agreement. Two schedules (House subscription + Wrapped licence). One executive sponsor relationship. Two independent revenue lines.</w:t>
            </w:r>
          </w:p>
        </w:tc>
      </w:tr>
      <w:tr>
        <w:tc>
          <w:tcPr>
            <w:tcW w:type="dxa" w:w="28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bCs/>
                <w:color w:val="1A1A1A"/>
                <w:sz w:val="18"/>
                <w:szCs w:val="18"/>
              </w:rPr>
              <w:t xml:space="preserve">Operational requirement</w:t>
            </w:r>
          </w:p>
        </w:tc>
        <w:tc>
          <w:tcPr>
            <w:tcW w:type="dxa" w:w="60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color w:val="333333"/>
                <w:sz w:val="18"/>
                <w:szCs w:val="18"/>
              </w:rPr>
              <w:t xml:space="preserve">Two separate AWS deployments. Non-negotiable for data isolation. Shared instance with RBAC separation is not acceptable.</w:t>
            </w:r>
          </w:p>
        </w:tc>
      </w:tr>
    </w:tbl>
    <w:p>
      <w:pPr>
        <w:spacing w:after="0" w:before="80"/>
      </w:pPr>
    </w:p>
    <w:p>
      <w:pPr>
        <w:pStyle w:val="Heading2"/>
        <w:spacing w:after="60" w:before="220"/>
      </w:pPr>
      <w:r>
        <w:rPr>
          <w:rFonts w:ascii="Arial" w:cs="Arial" w:eastAsia="Arial" w:hAnsi="Arial"/>
          <w:b/>
          <w:bCs/>
          <w:color w:val="1A1A1A"/>
          <w:sz w:val="21"/>
          <w:szCs w:val="21"/>
        </w:rPr>
        <w:t xml:space="preserve">Terminology — Locked</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520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Never say</w:t>
            </w:r>
          </w:p>
        </w:tc>
        <w:tc>
          <w:tcPr>
            <w:tcW w:type="dxa" w:w="52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Always say</w:t>
            </w:r>
          </w:p>
        </w:tc>
      </w:tr>
      <w:tr>
        <w:tc>
          <w:tcPr>
            <w:tcW w:type="dxa" w:w="3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upgrade / downgrade (channel)</w:t>
            </w:r>
          </w:p>
        </w:tc>
        <w:tc>
          <w:tcPr>
            <w:tcW w:type="dxa" w:w="5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migration</w:t>
            </w:r>
          </w:p>
        </w:tc>
      </w:tr>
      <w:tr>
        <w:tc>
          <w:tcPr>
            <w:tcW w:type="dxa" w:w="3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three products / three versions</w:t>
            </w:r>
          </w:p>
        </w:tc>
        <w:tc>
          <w:tcPr>
            <w:tcW w:type="dxa" w:w="5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one product, three delivery models</w:t>
            </w:r>
          </w:p>
        </w:tc>
      </w:tr>
      <w:tr>
        <w:tc>
          <w:tcPr>
            <w:tcW w:type="dxa" w:w="3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Vektor : Institutional</w:t>
            </w:r>
          </w:p>
        </w:tc>
        <w:tc>
          <w:tcPr>
            <w:tcW w:type="dxa" w:w="5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Vektor : House (direct institutional)</w:t>
            </w:r>
          </w:p>
        </w:tc>
      </w:tr>
      <w:tr>
        <w:tc>
          <w:tcPr>
            <w:tcW w:type="dxa" w:w="3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Vektor : Platform</w:t>
            </w:r>
          </w:p>
        </w:tc>
        <w:tc>
          <w:tcPr>
            <w:tcW w:type="dxa" w:w="5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Vektor : Wrapped (bank licensing)</w:t>
            </w:r>
          </w:p>
        </w:tc>
      </w:tr>
      <w:tr>
        <w:tc>
          <w:tcPr>
            <w:tcW w:type="dxa" w:w="3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Vektor : Enterprise</w:t>
            </w:r>
          </w:p>
        </w:tc>
        <w:tc>
          <w:tcPr>
            <w:tcW w:type="dxa" w:w="5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Vektor : House</w:t>
            </w:r>
          </w:p>
        </w:tc>
      </w:tr>
      <w:tr>
        <w:tc>
          <w:tcPr>
            <w:tcW w:type="dxa" w:w="3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Vektor : Partner</w:t>
            </w:r>
          </w:p>
        </w:tc>
        <w:tc>
          <w:tcPr>
            <w:tcW w:type="dxa" w:w="5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Vektor : Wrapped</w:t>
            </w:r>
          </w:p>
        </w:tc>
      </w:tr>
      <w:tr>
        <w:tc>
          <w:tcPr>
            <w:tcW w:type="dxa" w:w="3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permanently preferential</w:t>
            </w:r>
          </w:p>
        </w:tc>
        <w:tc>
          <w:tcPr>
            <w:tcW w:type="dxa" w:w="5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preferential commercial terms locked for the duration</w:t>
            </w:r>
          </w:p>
        </w:tc>
      </w:tr>
      <w:tr>
        <w:tc>
          <w:tcPr>
            <w:tcW w:type="dxa" w:w="3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Monte Carlo</w:t>
            </w:r>
          </w:p>
        </w:tc>
        <w:tc>
          <w:tcPr>
            <w:tcW w:type="dxa" w:w="5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10,000 portfolio configurations</w:t>
            </w:r>
          </w:p>
        </w:tc>
      </w:tr>
      <w:tr>
        <w:tc>
          <w:tcPr>
            <w:tcW w:type="dxa" w:w="3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99.9%</w:t>
            </w:r>
          </w:p>
        </w:tc>
        <w:tc>
          <w:tcPr>
            <w:tcW w:type="dxa" w:w="5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99.94%</w:t>
            </w:r>
          </w:p>
        </w:tc>
      </w:tr>
      <w:tr>
        <w:tc>
          <w:tcPr>
            <w:tcW w:type="dxa" w:w="3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simulations per strategy</w:t>
            </w:r>
          </w:p>
        </w:tc>
        <w:tc>
          <w:tcPr>
            <w:tcW w:type="dxa" w:w="5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portfolio configurations per strategy</w:t>
            </w:r>
          </w:p>
        </w:tc>
      </w:tr>
    </w:tbl>
    <w:p>
      <w:pPr>
        <w:pStyle w:val="Heading1"/>
        <w:pBdr>
          <w:bottom w:val="single" w:color="1A3A5C" w:sz="3" w:space="4"/>
        </w:pBdr>
        <w:spacing w:after="80" w:before="320"/>
      </w:pPr>
      <w:r>
        <w:rPr>
          <w:rFonts w:ascii="Arial" w:cs="Arial" w:eastAsia="Arial" w:hAnsi="Arial"/>
          <w:b/>
          <w:bCs/>
          <w:caps/>
          <w:color w:val="1A3A5C"/>
          <w:sz w:val="24"/>
          <w:szCs w:val="24"/>
        </w:rPr>
        <w:t xml:space="preserve">Part 2 · Documentation Principle</w:t>
      </w:r>
    </w:p>
    <w:p>
      <w:pPr>
        <w:pStyle w:val="Heading2"/>
        <w:spacing w:after="60" w:before="220"/>
      </w:pPr>
      <w:r>
        <w:rPr>
          <w:rFonts w:ascii="Arial" w:cs="Arial" w:eastAsia="Arial" w:hAnsi="Arial"/>
          <w:b/>
          <w:bCs/>
          <w:color w:val="1A1A1A"/>
          <w:sz w:val="21"/>
          <w:szCs w:val="21"/>
        </w:rPr>
        <w:t xml:space="preserve">The Core Rule</w:t>
      </w:r>
    </w:p>
    <w:p>
      <w:pPr>
        <w:spacing w:after="40" w:before="40" w:line="310" w:lineRule="auto"/>
      </w:pPr>
      <w:r>
        <w:rPr>
          <w:rFonts w:ascii="Arial" w:cs="Arial" w:eastAsia="Arial" w:hAnsi="Arial"/>
          <w:b w:val="false"/>
          <w:bCs w:val="false"/>
          <w:i w:val="false"/>
          <w:iCs w:val="false"/>
          <w:color w:val="333333"/>
          <w:sz w:val="20"/>
          <w:szCs w:val="20"/>
        </w:rPr>
        <w:t xml:space="preserve">Before adding tier language to any document, ask: does knowing the delivery model change how the reader should understand this information?</w:t>
      </w:r>
    </w:p>
    <w:p>
      <w:pPr>
        <w:pStyle w:val="ListParagraph"/>
        <w:numPr>
          <w:ilvl w:val="0"/>
          <w:numId w:val="2"/>
        </w:numPr>
        <w:spacing w:after="50" w:before="50" w:line="295" w:lineRule="auto"/>
      </w:pPr>
      <w:r>
        <w:rPr>
          <w:rFonts w:ascii="Arial" w:cs="Arial" w:eastAsia="Arial" w:hAnsi="Arial"/>
          <w:b/>
          <w:bCs/>
          <w:color w:val="1A1A1A"/>
          <w:sz w:val="20"/>
          <w:szCs w:val="20"/>
        </w:rPr>
        <w:t xml:space="preserve">Yes — </w:t>
      </w:r>
      <w:r>
        <w:rPr>
          <w:rFonts w:ascii="Arial" w:cs="Arial" w:eastAsia="Arial" w:hAnsi="Arial"/>
          <w:b w:val="false"/>
          <w:bCs w:val="false"/>
          <w:color w:val="333333"/>
          <w:sz w:val="20"/>
          <w:szCs w:val="20"/>
        </w:rPr>
        <w:t xml:space="preserve">include tier language.</w:t>
      </w:r>
    </w:p>
    <w:p>
      <w:pPr>
        <w:pStyle w:val="ListParagraph"/>
        <w:numPr>
          <w:ilvl w:val="0"/>
          <w:numId w:val="2"/>
        </w:numPr>
        <w:spacing w:after="50" w:before="50" w:line="295" w:lineRule="auto"/>
      </w:pPr>
      <w:r>
        <w:rPr>
          <w:rFonts w:ascii="Arial" w:cs="Arial" w:eastAsia="Arial" w:hAnsi="Arial"/>
          <w:b/>
          <w:bCs/>
          <w:color w:val="1A1A1A"/>
          <w:sz w:val="20"/>
          <w:szCs w:val="20"/>
        </w:rPr>
        <w:t xml:space="preserve">No — </w:t>
      </w:r>
      <w:r>
        <w:rPr>
          <w:rFonts w:ascii="Arial" w:cs="Arial" w:eastAsia="Arial" w:hAnsi="Arial"/>
          <w:b w:val="false"/>
          <w:bCs w:val="false"/>
          <w:color w:val="333333"/>
          <w:sz w:val="20"/>
          <w:szCs w:val="20"/>
        </w:rPr>
        <w:t xml:space="preserve">use the single-sentence convention or omit entirely.</w:t>
      </w:r>
    </w:p>
    <w:p>
      <w:pPr>
        <w:spacing w:after="0" w:before="60"/>
      </w:pPr>
    </w:p>
    <w:p>
      <w:pPr>
        <w:pBdr>
          <w:left w:val="single" w:color="C8A96E" w:sz="12" w:space="6"/>
        </w:pBdr>
        <w:shd w:fill="FDF9F2" w:val="clear"/>
        <w:spacing w:after="40" w:before="40"/>
        <w:ind w:left="400"/>
      </w:pPr>
      <w:r>
        <w:rPr>
          <w:rFonts w:ascii="Arial" w:cs="Arial" w:eastAsia="Arial" w:hAnsi="Arial"/>
          <w:i/>
          <w:iCs/>
          <w:color w:val="666666"/>
          <w:sz w:val="18"/>
          <w:szCs w:val="18"/>
        </w:rPr>
        <w:t xml:space="preserve">Single-sentence convention: "Vektor is one platform available through three delivery models: direct subscription for boutique practitioners and institutional investors, and through licensed bank partnerships for EAM clients." Use once, if needed. Do not repeat.</w:t>
      </w:r>
    </w:p>
    <w:p>
      <w:pPr>
        <w:spacing w:after="0" w:before="80"/>
      </w:pPr>
    </w:p>
    <w:p>
      <w:pPr>
        <w:pStyle w:val="Heading2"/>
        <w:spacing w:after="60" w:before="220"/>
      </w:pPr>
      <w:r>
        <w:rPr>
          <w:rFonts w:ascii="Arial" w:cs="Arial" w:eastAsia="Arial" w:hAnsi="Arial"/>
          <w:b/>
          <w:bCs/>
          <w:color w:val="1A1A1A"/>
          <w:sz w:val="21"/>
          <w:szCs w:val="21"/>
        </w:rPr>
        <w:t xml:space="preserve">Three Document Categories</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8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Category</w:t>
            </w:r>
          </w:p>
        </w:tc>
        <w:tc>
          <w:tcPr>
            <w:tcW w:type="dxa" w:w="38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Documents</w:t>
            </w:r>
          </w:p>
        </w:tc>
        <w:tc>
          <w:tcPr>
            <w:tcW w:type="dxa" w:w="28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Tier language</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Product documents</w:t>
            </w:r>
          </w:p>
        </w:tc>
        <w:tc>
          <w:tcPr>
            <w:tcW w:type="dxa" w:w="3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WP-01 through WP-10, at-a-glance, brochure, What Vektor Is Not</w:t>
            </w:r>
          </w:p>
        </w:tc>
        <w:tc>
          <w:tcPr>
            <w:tcW w:type="dxa" w:w="2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No tier language. Single-sentence convention at most, once.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Commercial documents</w:t>
            </w:r>
          </w:p>
        </w:tc>
        <w:tc>
          <w:tcPr>
            <w:tcW w:type="dxa" w:w="3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Founding mandate, DD navigation guide, data residency, pricing, investor materials</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language belongs here.</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Channel-specific documents</w:t>
            </w:r>
          </w:p>
        </w:tc>
        <w:tc>
          <w:tcPr>
            <w:tcW w:type="dxa" w:w="3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Wrapped brief, House proposition, EAM end-user guide</w:t>
            </w:r>
          </w:p>
        </w:tc>
        <w:tc>
          <w:tcPr>
            <w:tcW w:type="dxa" w:w="2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Audience implies the tier. Brief contextual sentence only.</w:t>
            </w:r>
          </w:p>
        </w:tc>
      </w:tr>
    </w:tbl>
    <w:p>
      <w:pPr>
        <w:spacing w:after="0" w:before="80"/>
      </w:pPr>
    </w:p>
    <w:p>
      <w:pPr>
        <w:pBdr>
          <w:left w:val="single" w:color="C62828" w:sz="12" w:space="6"/>
        </w:pBdr>
        <w:shd w:fill="FFF8F8" w:val="clear"/>
        <w:spacing w:after="40" w:before="40"/>
      </w:pPr>
      <w:r>
        <w:rPr>
          <w:rFonts w:ascii="Arial" w:cs="Arial" w:eastAsia="Arial" w:hAnsi="Arial"/>
          <w:b/>
          <w:bCs/>
          <w:color w:val="C62828"/>
          <w:sz w:val="18"/>
          <w:szCs w:val="18"/>
        </w:rPr>
        <w:t xml:space="preserve">⚠ B1 action revised: do NOT sweep every document for sub-brand naming. Apply document-by-document framework first. The sweep without this framework would undermine the one-product message.</w:t>
      </w:r>
    </w:p>
    <w:p>
      <w:pPr>
        <w:pStyle w:val="Heading1"/>
        <w:pBdr>
          <w:bottom w:val="single" w:color="1A3A5C" w:sz="3" w:space="4"/>
        </w:pBdr>
        <w:spacing w:after="80" w:before="320"/>
      </w:pPr>
      <w:r>
        <w:rPr>
          <w:rFonts w:ascii="Arial" w:cs="Arial" w:eastAsia="Arial" w:hAnsi="Arial"/>
          <w:b/>
          <w:bCs/>
          <w:caps/>
          <w:color w:val="1A3A5C"/>
          <w:sz w:val="24"/>
          <w:szCs w:val="24"/>
        </w:rPr>
        <w:t xml:space="preserve">Part 3 · Data Residency Framework</w:t>
      </w:r>
    </w:p>
    <w:p>
      <w:pPr>
        <w:pStyle w:val="Heading2"/>
        <w:spacing w:after="60" w:before="220"/>
      </w:pPr>
      <w:r>
        <w:rPr>
          <w:rFonts w:ascii="Arial" w:cs="Arial" w:eastAsia="Arial" w:hAnsi="Arial"/>
          <w:b/>
          <w:bCs/>
          <w:color w:val="1A1A1A"/>
          <w:sz w:val="21"/>
          <w:szCs w:val="21"/>
        </w:rPr>
        <w:t xml:space="preserve">Document status</w:t>
      </w:r>
    </w:p>
    <w:p>
      <w:pPr>
        <w:spacing w:after="40" w:before="40" w:line="310" w:lineRule="auto"/>
      </w:pPr>
      <w:r>
        <w:rPr>
          <w:rFonts w:ascii="Arial" w:cs="Arial" w:eastAsia="Arial" w:hAnsi="Arial"/>
          <w:b w:val="false"/>
          <w:bCs w:val="false"/>
          <w:i w:val="false"/>
          <w:iCs w:val="false"/>
          <w:color w:val="333333"/>
          <w:sz w:val="20"/>
          <w:szCs w:val="20"/>
        </w:rPr>
        <w:t xml:space="preserve">ip-data-residency-privacy-v2.1 (HTML and DOCX) is complete following two rounds of 24-member panel review. Ready for legal counsel briefing in Singapore and Switzerland. No further content changes.</w:t>
      </w:r>
    </w:p>
    <w:p>
      <w:pPr>
        <w:spacing w:after="0" w:before="60"/>
      </w:pPr>
    </w:p>
    <w:p>
      <w:pPr>
        <w:pStyle w:val="Heading2"/>
        <w:spacing w:after="60" w:before="220"/>
      </w:pPr>
      <w:r>
        <w:rPr>
          <w:rFonts w:ascii="Arial" w:cs="Arial" w:eastAsia="Arial" w:hAnsi="Arial"/>
          <w:b/>
          <w:bCs/>
          <w:color w:val="1A1A1A"/>
          <w:sz w:val="21"/>
          <w:szCs w:val="21"/>
        </w:rPr>
        <w:t xml:space="preserve">Compliance Posture by Channel</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4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Channel</w:t>
            </w:r>
          </w:p>
        </w:tc>
        <w:tc>
          <w:tcPr>
            <w:tcW w:type="dxa" w:w="22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InvestPuppy holds</w:t>
            </w:r>
          </w:p>
        </w:tc>
        <w:tc>
          <w:tcPr>
            <w:tcW w:type="dxa" w:w="20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DPA required</w:t>
            </w:r>
          </w:p>
        </w:tc>
        <w:tc>
          <w:tcPr>
            <w:tcW w:type="dxa" w:w="24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Breach notification</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Boutique / House (standard cloud)</w:t>
            </w:r>
          </w:p>
        </w:tc>
        <w:tc>
          <w:tcPr>
            <w:tcW w:type="dxa" w:w="2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PII — customer_name and identifiers in cloud</w:t>
            </w:r>
          </w:p>
        </w:tc>
        <w:tc>
          <w:tcPr>
            <w:tcW w:type="dxa" w:w="20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Yes — required with every client</w:t>
            </w:r>
          </w:p>
        </w:tc>
        <w:tc>
          <w:tcPr>
            <w:tcW w:type="dxa" w:w="2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InvestPuppy must notify if cloud breached and PII involved</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House (hybrid)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Pseudonymised data only. PII in client vault.</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Reduced or not required — confirm with counsel</w:t>
            </w:r>
          </w:p>
        </w:tc>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Breach of InvestPuppy's cloud does not involve PII</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Wrapped</w:t>
            </w:r>
          </w:p>
        </w:tc>
        <w:tc>
          <w:tcPr>
            <w:tcW w:type="dxa" w:w="2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No EAM client data. Three-layer DPA chain.</w:t>
            </w:r>
          </w:p>
        </w:tc>
        <w:tc>
          <w:tcPr>
            <w:tcW w:type="dxa" w:w="20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DPA between InvestPuppy and bank only</w:t>
            </w:r>
          </w:p>
        </w:tc>
        <w:tc>
          <w:tcPr>
            <w:tcW w:type="dxa" w:w="2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Breach of InvestPuppy's cloud does not involve EAM PII</w:t>
            </w:r>
          </w:p>
        </w:tc>
      </w:tr>
    </w:tbl>
    <w:p>
      <w:pPr>
        <w:spacing w:after="0" w:before="80"/>
      </w:pPr>
    </w:p>
    <w:p>
      <w:pPr>
        <w:pStyle w:val="Heading2"/>
        <w:spacing w:after="60" w:before="220"/>
      </w:pPr>
      <w:r>
        <w:rPr>
          <w:rFonts w:ascii="Arial" w:cs="Arial" w:eastAsia="Arial" w:hAnsi="Arial"/>
          <w:b/>
          <w:bCs/>
          <w:color w:val="1A1A1A"/>
          <w:sz w:val="21"/>
          <w:szCs w:val="21"/>
        </w:rPr>
        <w:t xml:space="preserve">Classification Categories</w:t>
      </w:r>
    </w:p>
    <w:p>
      <w:pPr>
        <w:pStyle w:val="ListParagraph"/>
        <w:numPr>
          <w:ilvl w:val="0"/>
          <w:numId w:val="2"/>
        </w:numPr>
        <w:spacing w:after="50" w:before="50" w:line="295" w:lineRule="auto"/>
      </w:pPr>
      <w:r>
        <w:rPr>
          <w:rFonts w:ascii="Arial" w:cs="Arial" w:eastAsia="Arial" w:hAnsi="Arial"/>
          <w:b/>
          <w:bCs/>
          <w:color w:val="1A1A1A"/>
          <w:sz w:val="20"/>
          <w:szCs w:val="20"/>
        </w:rPr>
        <w:t xml:space="preserve">PUB </w:t>
      </w:r>
      <w:r>
        <w:rPr>
          <w:rFonts w:ascii="Arial" w:cs="Arial" w:eastAsia="Arial" w:hAnsi="Arial"/>
          <w:b w:val="false"/>
          <w:bCs w:val="false"/>
          <w:color w:val="333333"/>
          <w:sz w:val="20"/>
          <w:szCs w:val="20"/>
        </w:rPr>
        <w:t xml:space="preserve">— Public reference data (all market_data schema). No protection.</w:t>
      </w:r>
    </w:p>
    <w:p>
      <w:pPr>
        <w:pStyle w:val="ListParagraph"/>
        <w:numPr>
          <w:ilvl w:val="0"/>
          <w:numId w:val="2"/>
        </w:numPr>
        <w:spacing w:after="50" w:before="50" w:line="295" w:lineRule="auto"/>
      </w:pPr>
      <w:r>
        <w:rPr>
          <w:rFonts w:ascii="Arial" w:cs="Arial" w:eastAsia="Arial" w:hAnsi="Arial"/>
          <w:b/>
          <w:bCs/>
          <w:color w:val="1A1A1A"/>
          <w:sz w:val="20"/>
          <w:szCs w:val="20"/>
        </w:rPr>
        <w:t xml:space="preserve">PROP </w:t>
      </w:r>
      <w:r>
        <w:rPr>
          <w:rFonts w:ascii="Arial" w:cs="Arial" w:eastAsia="Arial" w:hAnsi="Arial"/>
          <w:b w:val="false"/>
          <w:bCs w:val="false"/>
          <w:color w:val="333333"/>
          <w:sz w:val="20"/>
          <w:szCs w:val="20"/>
        </w:rPr>
        <w:t xml:space="preserve">— Proprietary business data (strategy_master, strategy_instruments). Contractual confidentiality.</w:t>
      </w:r>
    </w:p>
    <w:p>
      <w:pPr>
        <w:pStyle w:val="ListParagraph"/>
        <w:numPr>
          <w:ilvl w:val="0"/>
          <w:numId w:val="2"/>
        </w:numPr>
        <w:spacing w:after="50" w:before="50" w:line="295" w:lineRule="auto"/>
      </w:pPr>
      <w:r>
        <w:rPr>
          <w:rFonts w:ascii="Arial" w:cs="Arial" w:eastAsia="Arial" w:hAnsi="Arial"/>
          <w:b/>
          <w:bCs/>
          <w:color w:val="1A1A1A"/>
          <w:sz w:val="20"/>
          <w:szCs w:val="20"/>
        </w:rPr>
        <w:t xml:space="preserve">PSEUDO </w:t>
      </w:r>
      <w:r>
        <w:rPr>
          <w:rFonts w:ascii="Arial" w:cs="Arial" w:eastAsia="Arial" w:hAnsi="Arial"/>
          <w:b w:val="false"/>
          <w:bCs w:val="false"/>
          <w:color w:val="333333"/>
          <w:sz w:val="20"/>
          <w:szCs w:val="20"/>
        </w:rPr>
        <w:t xml:space="preserve">— Pseudonymised operational data (portfolio_positions, orders, order_events). UUID-keyed. Cloud-safe.</w:t>
      </w:r>
    </w:p>
    <w:p>
      <w:pPr>
        <w:pStyle w:val="ListParagraph"/>
        <w:numPr>
          <w:ilvl w:val="0"/>
          <w:numId w:val="2"/>
        </w:numPr>
        <w:spacing w:after="50" w:before="50" w:line="295" w:lineRule="auto"/>
      </w:pPr>
      <w:r>
        <w:rPr>
          <w:rFonts w:ascii="Arial" w:cs="Arial" w:eastAsia="Arial" w:hAnsi="Arial"/>
          <w:b/>
          <w:bCs/>
          <w:color w:val="1A1A1A"/>
          <w:sz w:val="20"/>
          <w:szCs w:val="20"/>
        </w:rPr>
        <w:t xml:space="preserve">PII </w:t>
      </w:r>
      <w:r>
        <w:rPr>
          <w:rFonts w:ascii="Arial" w:cs="Arial" w:eastAsia="Arial" w:hAnsi="Arial"/>
          <w:b w:val="false"/>
          <w:bCs w:val="false"/>
          <w:color w:val="333333"/>
          <w:sz w:val="20"/>
          <w:szCs w:val="20"/>
        </w:rPr>
        <w:t xml:space="preserve">— Personal identifying attributes (customer_name and direct identifiers). DPA or identity vault.</w:t>
      </w:r>
    </w:p>
    <w:p>
      <w:pPr>
        <w:pStyle w:val="ListParagraph"/>
        <w:numPr>
          <w:ilvl w:val="0"/>
          <w:numId w:val="2"/>
        </w:numPr>
        <w:spacing w:after="50" w:before="50" w:line="295" w:lineRule="auto"/>
      </w:pPr>
      <w:r>
        <w:rPr>
          <w:rFonts w:ascii="Arial" w:cs="Arial" w:eastAsia="Arial" w:hAnsi="Arial"/>
          <w:b/>
          <w:bCs/>
          <w:color w:val="1A1A1A"/>
          <w:sz w:val="20"/>
          <w:szCs w:val="20"/>
        </w:rPr>
        <w:t xml:space="preserve">BOUNDARY </w:t>
      </w:r>
      <w:r>
        <w:rPr>
          <w:rFonts w:ascii="Arial" w:cs="Arial" w:eastAsia="Arial" w:hAnsi="Arial"/>
          <w:b w:val="false"/>
          <w:bCs w:val="false"/>
          <w:color w:val="333333"/>
          <w:sz w:val="20"/>
          <w:szCs w:val="20"/>
        </w:rPr>
        <w:t xml:space="preserve">— kyc_status, risk_profile, broker_order_id. Legal opinion required before relying on PSEUDO classification.</w:t>
      </w:r>
    </w:p>
    <w:p>
      <w:pPr>
        <w:spacing w:after="0" w:before="80"/>
      </w:pPr>
    </w:p>
    <w:p>
      <w:pPr>
        <w:pStyle w:val="Heading2"/>
        <w:spacing w:after="60" w:before="220"/>
      </w:pPr>
      <w:r>
        <w:rPr>
          <w:rFonts w:ascii="Arial" w:cs="Arial" w:eastAsia="Arial" w:hAnsi="Arial"/>
          <w:b/>
          <w:bCs/>
          <w:color w:val="1A1A1A"/>
          <w:sz w:val="21"/>
          <w:szCs w:val="21"/>
        </w:rPr>
        <w:t xml:space="preserve">Pending Legal Reviews</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0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Jurisdiction</w:t>
            </w:r>
          </w:p>
        </w:tc>
        <w:tc>
          <w:tcPr>
            <w:tcW w:type="dxa" w:w="54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Questions</w:t>
            </w:r>
          </w:p>
        </w:tc>
        <w:tc>
          <w:tcPr>
            <w:tcW w:type="dxa" w:w="20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Priority</w:t>
            </w:r>
          </w:p>
        </w:tc>
      </w:tr>
      <w:tr>
        <w:tc>
          <w:tcPr>
            <w:tcW w:type="dxa" w:w="1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Singapore</w:t>
            </w:r>
          </w:p>
        </w:tc>
        <w:tc>
          <w:tcPr>
            <w:tcW w:type="dxa" w:w="5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PDPA pseudonymisation (broader 'organisation access' definition), DPA template, MAS TRM vendor classification, BOUNDARY fields</w:t>
            </w:r>
          </w:p>
        </w:tc>
        <w:tc>
          <w:tcPr>
            <w:tcW w:type="dxa" w:w="20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Priority 1</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Switzerland</w:t>
            </w:r>
          </w:p>
        </w:tc>
        <w:tc>
          <w:tcPr>
            <w:tcW w:type="dxa" w:w="5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nDSG pseudonymisation, article numbering, DPA template, FinIA outsourcing, Bankgeheimnis for Boutique clients</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Priority 1</w:t>
            </w:r>
          </w:p>
        </w:tc>
      </w:tr>
      <w:tr>
        <w:tc>
          <w:tcPr>
            <w:tcW w:type="dxa" w:w="1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UK</w:t>
            </w:r>
          </w:p>
        </w:tc>
        <w:tc>
          <w:tcPr>
            <w:tcW w:type="dxa" w:w="5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UK-01 FCA opinion + DPA template coordinated (both address UK GDPR + FCA SYSC 8/13)</w:t>
            </w:r>
          </w:p>
        </w:tc>
        <w:tc>
          <w:tcPr>
            <w:tcW w:type="dxa" w:w="20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Post-raise</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UAE/DIFC</w:t>
            </w:r>
          </w:p>
        </w:tc>
        <w:tc>
          <w:tcPr>
            <w:tcW w:type="dxa" w:w="5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Pseudonymisation position, AWS me-central-1 adequacy, Data Processing Contract requirement</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On first DIFC conversation</w:t>
            </w:r>
          </w:p>
        </w:tc>
      </w:tr>
      <w:tr>
        <w:tc>
          <w:tcPr>
            <w:tcW w:type="dxa" w:w="1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Saudi Arabia</w:t>
            </w:r>
          </w:p>
        </w:tc>
        <w:tc>
          <w:tcPr>
            <w:tcW w:type="dxa" w:w="5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PDPL localisation for pseudonymised data, SAMA tier, AWS Saudi region status</w:t>
            </w:r>
          </w:p>
        </w:tc>
        <w:tc>
          <w:tcPr>
            <w:tcW w:type="dxa" w:w="20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When Saudi enters near-term plan</w:t>
            </w:r>
          </w:p>
        </w:tc>
      </w:tr>
    </w:tbl>
    <w:p>
      <w:pPr>
        <w:pStyle w:val="Heading1"/>
        <w:pBdr>
          <w:bottom w:val="single" w:color="1A3A5C" w:sz="3" w:space="4"/>
        </w:pBdr>
        <w:spacing w:after="80" w:before="320"/>
      </w:pPr>
      <w:r>
        <w:rPr>
          <w:rFonts w:ascii="Arial" w:cs="Arial" w:eastAsia="Arial" w:hAnsi="Arial"/>
          <w:b/>
          <w:bCs/>
          <w:caps/>
          <w:color w:val="1A3A5C"/>
          <w:sz w:val="24"/>
          <w:szCs w:val="24"/>
        </w:rPr>
        <w:t xml:space="preserve">Part 4 · Product Architecture Decisions</w:t>
      </w:r>
    </w:p>
    <w:p>
      <w:pPr>
        <w:pStyle w:val="Heading2"/>
        <w:spacing w:after="60" w:before="220"/>
      </w:pPr>
      <w:r>
        <w:rPr>
          <w:rFonts w:ascii="Arial" w:cs="Arial" w:eastAsia="Arial" w:hAnsi="Arial"/>
          <w:b/>
          <w:bCs/>
          <w:color w:val="1A1A1A"/>
          <w:sz w:val="21"/>
          <w:szCs w:val="21"/>
        </w:rPr>
        <w:t xml:space="preserve">Multi-Custodian Mandate Architecture</w:t>
      </w:r>
    </w:p>
    <w:p>
      <w:pPr>
        <w:spacing w:after="40" w:before="40" w:line="310" w:lineRule="auto"/>
      </w:pPr>
      <w:r>
        <w:rPr>
          <w:rFonts w:ascii="Arial" w:cs="Arial" w:eastAsia="Arial" w:hAnsi="Arial"/>
          <w:b w:val="false"/>
          <w:bCs w:val="false"/>
          <w:i w:val="false"/>
          <w:iCs w:val="false"/>
          <w:color w:val="333333"/>
          <w:sz w:val="20"/>
          <w:szCs w:val="20"/>
        </w:rPr>
        <w:t xml:space="preserve">Independent sub-accounts sharing a common strategy. Each custodian account is a portfolio_master record. All sub-accounts for a client reference the same strategy. Each is managed independently against its own cash and positions. New funds credited to the custodian sub-account where they land (client-determined). No cross-custodian rebalancing unless EAM-initiated.</w:t>
      </w:r>
    </w:p>
    <w:p>
      <w:pPr>
        <w:spacing w:after="0" w:before="60"/>
      </w:pPr>
    </w:p>
    <w:p>
      <w:pPr>
        <w:pStyle w:val="Heading3"/>
        <w:spacing w:after="40" w:before="160"/>
      </w:pPr>
      <w:r>
        <w:rPr>
          <w:rFonts w:ascii="Arial" w:cs="Arial" w:eastAsia="Arial" w:hAnsi="Arial"/>
          <w:b/>
          <w:bCs/>
          <w:color w:val="1A3A5C"/>
          <w:sz w:val="19"/>
          <w:szCs w:val="19"/>
        </w:rPr>
        <w:t xml:space="preserve">Three new data model constructs — implement now</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40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Table</w:t>
            </w:r>
          </w:p>
        </w:tc>
        <w:tc>
          <w:tcPr>
            <w:tcW w:type="dxa" w:w="44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Key fields</w:t>
            </w:r>
          </w:p>
        </w:tc>
        <w:tc>
          <w:tcPr>
            <w:tcW w:type="dxa" w:w="24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custodian_master</w:t>
            </w:r>
          </w:p>
        </w:tc>
        <w:tc>
          <w:tcPr>
            <w:tcW w:type="dxa" w:w="4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custodian_id, custodian_name, custodian_code, routing_method (ENUM), routing_priority, routing_config (JSONB), lot_convention, min_trade_size_usd, settlement_days, currency, is_active</w:t>
            </w:r>
          </w:p>
        </w:tc>
        <w:tc>
          <w:tcPr>
            <w:tcW w:type="dxa" w:w="2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Defines custodian relationship and routing configuration</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client_mandate</w:t>
            </w:r>
          </w:p>
        </w:tc>
        <w:tc>
          <w:tcPr>
            <w:tcW w:type="dxa" w:w="4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mandate_id, customer_id, strategy_id, mandate_name, created_at</w:t>
            </w:r>
          </w:p>
        </w:tc>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Groups portfolio_master records for the same client. Mandate-level reporting aggregation.</w:t>
            </w:r>
          </w:p>
        </w:tc>
      </w:tr>
      <w:tr>
        <w:tc>
          <w:tcPr>
            <w:tcW w:type="dxa" w:w="20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portfolio_master (additions)</w:t>
            </w:r>
          </w:p>
        </w:tc>
        <w:tc>
          <w:tcPr>
            <w:tcW w:type="dxa" w:w="4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mandate_id (FK nullable), custodian_id (FK)</w:t>
            </w:r>
          </w:p>
        </w:tc>
        <w:tc>
          <w:tcPr>
            <w:tcW w:type="dxa" w:w="2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Links each sub-account to its mandate and custodian</w:t>
            </w:r>
          </w:p>
        </w:tc>
      </w:tr>
    </w:tbl>
    <w:p>
      <w:pPr>
        <w:spacing w:after="0" w:before="80"/>
      </w:pPr>
    </w:p>
    <w:p>
      <w:pPr>
        <w:pStyle w:val="Heading2"/>
        <w:spacing w:after="60" w:before="220"/>
      </w:pPr>
      <w:r>
        <w:rPr>
          <w:rFonts w:ascii="Arial" w:cs="Arial" w:eastAsia="Arial" w:hAnsi="Arial"/>
          <w:b/>
          <w:bCs/>
          <w:color w:val="1A1A1A"/>
          <w:sz w:val="21"/>
          <w:szCs w:val="21"/>
        </w:rPr>
        <w:t xml:space="preserve">Order Routing Method</w:t>
      </w:r>
    </w:p>
    <w:p>
      <w:pPr>
        <w:spacing w:after="40" w:before="40" w:line="310" w:lineRule="auto"/>
      </w:pPr>
      <w:r>
        <w:rPr>
          <w:rFonts w:ascii="Arial" w:cs="Arial" w:eastAsia="Arial" w:hAnsi="Arial"/>
          <w:b w:val="false"/>
          <w:bCs w:val="false"/>
          <w:i w:val="false"/>
          <w:iCs w:val="false"/>
          <w:color w:val="333333"/>
          <w:sz w:val="20"/>
          <w:szCs w:val="20"/>
        </w:rPr>
        <w:t xml:space="preserve">routing_method is a first-class data model concept defined now. Extensible by design — adding a new routing channel requires no schema change.</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40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Value</w:t>
            </w:r>
          </w:p>
        </w:tc>
        <w:tc>
          <w:tcPr>
            <w:tcW w:type="dxa" w:w="48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Description</w:t>
            </w:r>
          </w:p>
        </w:tc>
        <w:tc>
          <w:tcPr>
            <w:tcW w:type="dxa" w:w="24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Status</w:t>
            </w:r>
          </w:p>
        </w:tc>
      </w:tr>
      <w:tr>
        <w:tc>
          <w:tcPr>
            <w:tcW w:type="dxa" w:w="1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IBKR</w:t>
            </w:r>
          </w:p>
        </w:tc>
        <w:tc>
          <w:tcPr>
            <w:tcW w:type="dxa" w:w="4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Automated via Interactive Brokers TWS API</w:t>
            </w:r>
          </w:p>
        </w:tc>
        <w:tc>
          <w:tcPr>
            <w:tcW w:type="dxa" w:w="2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Current — implemented</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MANUAL</w:t>
            </w:r>
          </w:p>
        </w:tc>
        <w:tc>
          <w:tcPr>
            <w:tcW w:type="dxa" w:w="4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EAM generates instruction, routes manually, records fill</w:t>
            </w:r>
          </w:p>
        </w:tc>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New — implement now</w:t>
            </w:r>
          </w:p>
        </w:tc>
      </w:tr>
      <w:tr>
        <w:tc>
          <w:tcPr>
            <w:tcW w:type="dxa" w:w="1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FIX</w:t>
            </w:r>
          </w:p>
        </w:tc>
        <w:tc>
          <w:tcPr>
            <w:tcW w:type="dxa" w:w="4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FIX 4.2/4.4 protocol</w:t>
            </w:r>
          </w:p>
        </w:tc>
        <w:tc>
          <w:tcPr>
            <w:tcW w:type="dxa" w:w="2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Future — named now</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OPENWEALTH</w:t>
            </w:r>
          </w:p>
        </w:tc>
        <w:tc>
          <w:tcPr>
            <w:tcW w:type="dxa" w:w="4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Via OpenWealth order endpoint</w:t>
            </w:r>
          </w:p>
        </w:tc>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Future — named now</w:t>
            </w:r>
          </w:p>
        </w:tc>
      </w:tr>
      <w:tr>
        <w:tc>
          <w:tcPr>
            <w:tcW w:type="dxa" w:w="1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SWIFT</w:t>
            </w:r>
          </w:p>
        </w:tc>
        <w:tc>
          <w:tcPr>
            <w:tcW w:type="dxa" w:w="4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MT messaging for institutional settlement</w:t>
            </w:r>
          </w:p>
        </w:tc>
        <w:tc>
          <w:tcPr>
            <w:tcW w:type="dxa" w:w="2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Future — named now</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API</w:t>
            </w:r>
          </w:p>
        </w:tc>
        <w:tc>
          <w:tcPr>
            <w:tcW w:type="dxa" w:w="4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Generic REST API for custodian-specific integrations</w:t>
            </w:r>
          </w:p>
        </w:tc>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Future — named now</w:t>
            </w:r>
          </w:p>
        </w:tc>
      </w:tr>
    </w:tbl>
    <w:p>
      <w:pPr>
        <w:spacing w:after="0" w:before="80"/>
      </w:pPr>
    </w:p>
    <w:p>
      <w:pPr>
        <w:pStyle w:val="Heading3"/>
        <w:spacing w:after="40" w:before="160"/>
      </w:pPr>
      <w:r>
        <w:rPr>
          <w:rFonts w:ascii="Arial" w:cs="Arial" w:eastAsia="Arial" w:hAnsi="Arial"/>
          <w:b/>
          <w:bCs/>
          <w:color w:val="1A3A5C"/>
          <w:sz w:val="19"/>
          <w:szCs w:val="19"/>
        </w:rPr>
        <w:t xml:space="preserve">New fields on orders</w:t>
      </w:r>
    </w:p>
    <w:p>
      <w:pPr>
        <w:pStyle w:val="ListParagraph"/>
        <w:numPr>
          <w:ilvl w:val="0"/>
          <w:numId w:val="2"/>
        </w:numPr>
        <w:spacing w:after="50" w:before="50" w:line="295" w:lineRule="auto"/>
      </w:pPr>
      <w:r>
        <w:rPr>
          <w:rFonts w:ascii="Arial" w:cs="Arial" w:eastAsia="Arial" w:hAnsi="Arial"/>
          <w:b/>
          <w:bCs/>
          <w:color w:val="1A1A1A"/>
          <w:sz w:val="20"/>
          <w:szCs w:val="20"/>
        </w:rPr>
        <w:t xml:space="preserve">routing_method </w:t>
      </w:r>
      <w:r>
        <w:rPr>
          <w:rFonts w:ascii="Arial" w:cs="Arial" w:eastAsia="Arial" w:hAnsi="Arial"/>
          <w:b w:val="false"/>
          <w:bCs w:val="false"/>
          <w:color w:val="333333"/>
          <w:sz w:val="20"/>
          <w:szCs w:val="20"/>
        </w:rPr>
        <w:t xml:space="preserve">— inherited from custodian at order generation time</w:t>
      </w:r>
    </w:p>
    <w:p>
      <w:pPr>
        <w:pStyle w:val="ListParagraph"/>
        <w:numPr>
          <w:ilvl w:val="0"/>
          <w:numId w:val="2"/>
        </w:numPr>
        <w:spacing w:after="50" w:before="50" w:line="295" w:lineRule="auto"/>
      </w:pPr>
      <w:r>
        <w:rPr>
          <w:rFonts w:ascii="Arial" w:cs="Arial" w:eastAsia="Arial" w:hAnsi="Arial"/>
          <w:b/>
          <w:bCs/>
          <w:color w:val="1A1A1A"/>
          <w:sz w:val="20"/>
          <w:szCs w:val="20"/>
        </w:rPr>
        <w:t xml:space="preserve">routing_ref </w:t>
      </w:r>
      <w:r>
        <w:rPr>
          <w:rFonts w:ascii="Arial" w:cs="Arial" w:eastAsia="Arial" w:hAnsi="Arial"/>
          <w:b w:val="false"/>
          <w:bCs w:val="false"/>
          <w:color w:val="333333"/>
          <w:sz w:val="20"/>
          <w:szCs w:val="20"/>
        </w:rPr>
        <w:t xml:space="preserve">— IBKR order ID / manual instruction reference / FIX ClOrdID etc.</w:t>
      </w:r>
    </w:p>
    <w:p>
      <w:pPr>
        <w:pStyle w:val="ListParagraph"/>
        <w:numPr>
          <w:ilvl w:val="0"/>
          <w:numId w:val="2"/>
        </w:numPr>
        <w:spacing w:after="50" w:before="50" w:line="295" w:lineRule="auto"/>
      </w:pPr>
      <w:r>
        <w:rPr>
          <w:rFonts w:ascii="Arial" w:cs="Arial" w:eastAsia="Arial" w:hAnsi="Arial"/>
          <w:b/>
          <w:bCs/>
          <w:color w:val="1A1A1A"/>
          <w:sz w:val="20"/>
          <w:szCs w:val="20"/>
        </w:rPr>
        <w:t xml:space="preserve">manual_submitted_at </w:t>
      </w:r>
      <w:r>
        <w:rPr>
          <w:rFonts w:ascii="Arial" w:cs="Arial" w:eastAsia="Arial" w:hAnsi="Arial"/>
          <w:b w:val="false"/>
          <w:bCs w:val="false"/>
          <w:color w:val="333333"/>
          <w:sz w:val="20"/>
          <w:szCs w:val="20"/>
        </w:rPr>
        <w:t xml:space="preserve">— when EAM sent manual instruction to custodian</w:t>
      </w:r>
    </w:p>
    <w:p>
      <w:pPr>
        <w:pStyle w:val="ListParagraph"/>
        <w:numPr>
          <w:ilvl w:val="0"/>
          <w:numId w:val="2"/>
        </w:numPr>
        <w:spacing w:after="50" w:before="50" w:line="295" w:lineRule="auto"/>
      </w:pPr>
      <w:r>
        <w:rPr>
          <w:rFonts w:ascii="Arial" w:cs="Arial" w:eastAsia="Arial" w:hAnsi="Arial"/>
          <w:b/>
          <w:bCs/>
          <w:color w:val="1A1A1A"/>
          <w:sz w:val="20"/>
          <w:szCs w:val="20"/>
        </w:rPr>
        <w:t xml:space="preserve">manual_submitted_to </w:t>
      </w:r>
      <w:r>
        <w:rPr>
          <w:rFonts w:ascii="Arial" w:cs="Arial" w:eastAsia="Arial" w:hAnsi="Arial"/>
          <w:b w:val="false"/>
          <w:bCs w:val="false"/>
          <w:color w:val="333333"/>
          <w:sz w:val="20"/>
          <w:szCs w:val="20"/>
        </w:rPr>
        <w:t xml:space="preserve">— custodian portal, phone, email reference</w:t>
      </w:r>
    </w:p>
    <w:p>
      <w:pPr>
        <w:spacing w:after="0" w:before="60"/>
      </w:pPr>
    </w:p>
    <w:p>
      <w:pPr>
        <w:pStyle w:val="Heading3"/>
        <w:spacing w:after="40" w:before="160"/>
      </w:pPr>
      <w:r>
        <w:rPr>
          <w:rFonts w:ascii="Arial" w:cs="Arial" w:eastAsia="Arial" w:hAnsi="Arial"/>
          <w:b/>
          <w:bCs/>
          <w:color w:val="1A3A5C"/>
          <w:sz w:val="19"/>
          <w:szCs w:val="19"/>
        </w:rPr>
        <w:t xml:space="preserve">New order_events states</w:t>
      </w:r>
    </w:p>
    <w:p>
      <w:pPr>
        <w:pStyle w:val="ListParagraph"/>
        <w:numPr>
          <w:ilvl w:val="0"/>
          <w:numId w:val="2"/>
        </w:numPr>
        <w:spacing w:after="50" w:before="50" w:line="295" w:lineRule="auto"/>
      </w:pPr>
      <w:r>
        <w:rPr>
          <w:rFonts w:ascii="Arial" w:cs="Arial" w:eastAsia="Arial" w:hAnsi="Arial"/>
          <w:b/>
          <w:bCs/>
          <w:color w:val="1A1A1A"/>
          <w:sz w:val="20"/>
          <w:szCs w:val="20"/>
        </w:rPr>
        <w:t xml:space="preserve">MANUAL_SENT </w:t>
      </w:r>
      <w:r>
        <w:rPr>
          <w:rFonts w:ascii="Arial" w:cs="Arial" w:eastAsia="Arial" w:hAnsi="Arial"/>
          <w:b w:val="false"/>
          <w:bCs w:val="false"/>
          <w:color w:val="333333"/>
          <w:sz w:val="20"/>
          <w:szCs w:val="20"/>
        </w:rPr>
        <w:t xml:space="preserve">— EAM has dispatched the instruction to the custodian</w:t>
      </w:r>
    </w:p>
    <w:p>
      <w:pPr>
        <w:pStyle w:val="ListParagraph"/>
        <w:numPr>
          <w:ilvl w:val="0"/>
          <w:numId w:val="2"/>
        </w:numPr>
        <w:spacing w:after="50" w:before="50" w:line="295" w:lineRule="auto"/>
      </w:pPr>
      <w:r>
        <w:rPr>
          <w:rFonts w:ascii="Arial" w:cs="Arial" w:eastAsia="Arial" w:hAnsi="Arial"/>
          <w:b/>
          <w:bCs/>
          <w:color w:val="1A1A1A"/>
          <w:sz w:val="20"/>
          <w:szCs w:val="20"/>
        </w:rPr>
        <w:t xml:space="preserve">MANUAL_FILLED </w:t>
      </w:r>
      <w:r>
        <w:rPr>
          <w:rFonts w:ascii="Arial" w:cs="Arial" w:eastAsia="Arial" w:hAnsi="Arial"/>
          <w:b w:val="false"/>
          <w:bCs w:val="false"/>
          <w:color w:val="333333"/>
          <w:sz w:val="20"/>
          <w:szCs w:val="20"/>
        </w:rPr>
        <w:t xml:space="preserve">— EAM has recorded the fill confirmation</w:t>
      </w:r>
    </w:p>
    <w:p>
      <w:pPr>
        <w:spacing w:after="0" w:before="60"/>
      </w:pPr>
    </w:p>
    <w:p>
      <w:pPr>
        <w:pBdr>
          <w:left w:val="single" w:color="C8A96E" w:sz="12" w:space="6"/>
        </w:pBdr>
        <w:shd w:fill="FDF9F2" w:val="clear"/>
        <w:spacing w:after="40" w:before="40"/>
        <w:ind w:left="400"/>
      </w:pPr>
      <w:r>
        <w:rPr>
          <w:rFonts w:ascii="Arial" w:cs="Arial" w:eastAsia="Arial" w:hAnsi="Arial"/>
          <w:i/>
          <w:iCs/>
          <w:color w:val="666666"/>
          <w:sz w:val="18"/>
          <w:szCs w:val="18"/>
        </w:rPr>
        <w:t xml:space="preserve">Manual execution mode enables Vektor's scope to cover any EAM's full book across any number of custodians from day one without requiring OpenWealth integration with every custodian. The audit trail is complete at the same standard as automated execution.</w:t>
      </w:r>
    </w:p>
    <w:p>
      <w:pPr>
        <w:pStyle w:val="Heading1"/>
        <w:pBdr>
          <w:bottom w:val="single" w:color="1A3A5C" w:sz="3" w:space="4"/>
        </w:pBdr>
        <w:spacing w:after="80" w:before="320"/>
      </w:pPr>
      <w:r>
        <w:rPr>
          <w:rFonts w:ascii="Arial" w:cs="Arial" w:eastAsia="Arial" w:hAnsi="Arial"/>
          <w:b/>
          <w:bCs/>
          <w:caps/>
          <w:color w:val="1A3A5C"/>
          <w:sz w:val="24"/>
          <w:szCs w:val="24"/>
        </w:rPr>
        <w:t xml:space="preserve">Part 5 · Documents Produced</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260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Document</w:t>
            </w:r>
          </w:p>
        </w:tc>
        <w:tc>
          <w:tcPr>
            <w:tcW w:type="dxa" w:w="16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Format</w:t>
            </w:r>
          </w:p>
        </w:tc>
        <w:tc>
          <w:tcPr>
            <w:tcW w:type="dxa" w:w="14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Tier</w:t>
            </w:r>
          </w:p>
        </w:tc>
        <w:tc>
          <w:tcPr>
            <w:tcW w:type="dxa" w:w="26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Status</w:t>
            </w:r>
          </w:p>
        </w:tc>
      </w:tr>
      <w:tr>
        <w:tc>
          <w:tcPr>
            <w:tcW w:type="dxa" w:w="3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ip-data-residency-privacy-v2.1</w:t>
            </w:r>
          </w:p>
        </w:tc>
        <w:tc>
          <w:tcPr>
            <w:tcW w:type="dxa" w:w="1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HTML + DOCX</w:t>
            </w:r>
          </w:p>
        </w:tc>
        <w:tc>
          <w:tcPr>
            <w:tcW w:type="dxa" w:w="1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Internal</w:t>
            </w:r>
          </w:p>
        </w:tc>
        <w:tc>
          <w:tcPr>
            <w:tcW w:type="dxa" w:w="2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Complete — ready for counsel briefing</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ip-three-delivery-models-v5</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HTML + PDF</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2 Qualified</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Complete — panel-reviewed, final</w:t>
            </w:r>
          </w:p>
        </w:tc>
      </w:tr>
      <w:tr>
        <w:tc>
          <w:tcPr>
            <w:tcW w:type="dxa" w:w="3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HANDOFF-260513-B</w:t>
            </w:r>
          </w:p>
        </w:tc>
        <w:tc>
          <w:tcPr>
            <w:tcW w:type="dxa" w:w="1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MD + DOCX</w:t>
            </w:r>
          </w:p>
        </w:tc>
        <w:tc>
          <w:tcPr>
            <w:tcW w:type="dxa" w:w="1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Internal</w:t>
            </w:r>
          </w:p>
        </w:tc>
        <w:tc>
          <w:tcPr>
            <w:tcW w:type="dxa" w:w="26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This document</w:t>
            </w:r>
          </w:p>
        </w:tc>
      </w:tr>
    </w:tbl>
    <w:p>
      <w:pPr>
        <w:spacing w:after="0" w:before="80"/>
      </w:pPr>
    </w:p>
    <w:p>
      <w:pPr>
        <w:pStyle w:val="Heading3"/>
        <w:spacing w:after="40" w:before="160"/>
      </w:pPr>
      <w:r>
        <w:rPr>
          <w:rFonts w:ascii="Arial" w:cs="Arial" w:eastAsia="Arial" w:hAnsi="Arial"/>
          <w:b/>
          <w:bCs/>
          <w:color w:val="1A3A5C"/>
          <w:sz w:val="19"/>
          <w:szCs w:val="19"/>
        </w:rPr>
        <w:t xml:space="preserve">ip-three-delivery-models-v5 — summary</w:t>
      </w:r>
    </w:p>
    <w:p>
      <w:pPr>
        <w:pStyle w:val="ListParagraph"/>
        <w:numPr>
          <w:ilvl w:val="0"/>
          <w:numId w:val="2"/>
        </w:numPr>
        <w:spacing w:after="50" w:before="50" w:line="295" w:lineRule="auto"/>
      </w:pPr>
      <w:r>
        <w:rPr>
          <w:rFonts w:ascii="Arial" w:cs="Arial" w:eastAsia="Arial" w:hAnsi="Arial"/>
          <w:color w:val="333333"/>
          <w:sz w:val="20"/>
          <w:szCs w:val="20"/>
        </w:rPr>
        <w:t xml:space="preserve">Five sections: founding principle, why three delivery models, tier cards, Section 3 client data table (House standard vs hybrid with pricing differential), decision framework, product unity grid, migration note.</w:t>
      </w:r>
    </w:p>
    <w:p>
      <w:pPr>
        <w:pStyle w:val="ListParagraph"/>
        <w:numPr>
          <w:ilvl w:val="0"/>
          <w:numId w:val="2"/>
        </w:numPr>
        <w:spacing w:after="50" w:before="50" w:line="295" w:lineRule="auto"/>
      </w:pPr>
      <w:r>
        <w:rPr>
          <w:rFonts w:ascii="Arial" w:cs="Arial" w:eastAsia="Arial" w:hAnsi="Arial"/>
          <w:color w:val="333333"/>
          <w:sz w:val="20"/>
          <w:szCs w:val="20"/>
        </w:rPr>
        <w:t xml:space="preserve">Dark Vektor design system. Colour-coded tier cards (blue/green/amber). EAM end-user note. Hybrid conditions list with Bankgeheimnis reference. Contact directions at hybrid callout and dual-channel note.</w:t>
      </w:r>
    </w:p>
    <w:p>
      <w:pPr>
        <w:pStyle w:val="ListParagraph"/>
        <w:numPr>
          <w:ilvl w:val="0"/>
          <w:numId w:val="2"/>
        </w:numPr>
        <w:spacing w:after="50" w:before="50" w:line="295" w:lineRule="auto"/>
      </w:pPr>
      <w:r>
        <w:rPr>
          <w:rFonts w:ascii="Arial" w:cs="Arial" w:eastAsia="Arial" w:hAnsi="Arial"/>
          <w:color w:val="333333"/>
          <w:sz w:val="20"/>
          <w:szCs w:val="20"/>
        </w:rPr>
        <w:t xml:space="preserve">Distribution: produced on request. Not for general distribution. Validates that three-tier structure was designed in from the start.</w:t>
      </w:r>
    </w:p>
    <w:p>
      <w:pPr>
        <w:pStyle w:val="Heading1"/>
        <w:pBdr>
          <w:bottom w:val="single" w:color="1A3A5C" w:sz="3" w:space="4"/>
        </w:pBdr>
        <w:spacing w:after="80" w:before="320"/>
      </w:pPr>
      <w:r>
        <w:rPr>
          <w:rFonts w:ascii="Arial" w:cs="Arial" w:eastAsia="Arial" w:hAnsi="Arial"/>
          <w:b/>
          <w:bCs/>
          <w:caps/>
          <w:color w:val="1A3A5C"/>
          <w:sz w:val="24"/>
          <w:szCs w:val="24"/>
        </w:rPr>
        <w:t xml:space="preserve">Part 6 · Outstanding Actions</w:t>
      </w:r>
    </w:p>
    <w:p>
      <w:pPr>
        <w:pStyle w:val="Heading2"/>
        <w:spacing w:after="60" w:before="220"/>
      </w:pPr>
      <w:r>
        <w:rPr>
          <w:rFonts w:ascii="Arial" w:cs="Arial" w:eastAsia="Arial" w:hAnsi="Arial"/>
          <w:b/>
          <w:bCs/>
          <w:color w:val="1A1A1A"/>
          <w:sz w:val="21"/>
          <w:szCs w:val="21"/>
        </w:rPr>
        <w:t xml:space="preserve">Commercial Critical</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6800"/>
        <w:gridCol w:w="1600"/>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w:t>
            </w:r>
          </w:p>
        </w:tc>
        <w:tc>
          <w:tcPr>
            <w:tcW w:type="dxa" w:w="68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Item</w:t>
            </w:r>
          </w:p>
        </w:tc>
        <w:tc>
          <w:tcPr>
            <w:tcW w:type="dxa" w:w="16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Status</w:t>
            </w:r>
          </w:p>
        </w:tc>
      </w:tr>
      <w:tr>
        <w:tc>
          <w:tcPr>
            <w:tcW w:type="dxa" w:w="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C1</w:t>
            </w:r>
          </w:p>
        </w:tc>
        <w:tc>
          <w:tcPr>
            <w:tcW w:type="dxa" w:w="6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First Founding Mandate conversation — STILL NOT STARTED. Suite is complete. Architecture resolved.</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OPEN — OVERDUE</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C2</w:t>
            </w:r>
          </w:p>
        </w:tc>
        <w:tc>
          <w:tcPr>
            <w:tcW w:type="dxa" w:w="6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UK-01 FCA legal opinion. Budget GBP 5,000–15,000. Commission post-raise.</w:t>
            </w:r>
          </w:p>
        </w:tc>
        <w:tc>
          <w:tcPr>
            <w:tcW w:type="dxa" w:w="1400"/>
            <w:tcBorders>
              <w:top w:val="single" w:color="CCCCCC" w:sz="1"/>
              <w:left w:val="single" w:color="CCCCCC" w:sz="1"/>
              <w:bottom w:val="single" w:color="CCCCCC" w:sz="1"/>
              <w:right w:val="single" w:color="CCCCCC"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OPEN — BLOCKED</w:t>
            </w:r>
          </w:p>
        </w:tc>
      </w:tr>
    </w:tbl>
    <w:p>
      <w:pPr>
        <w:spacing w:after="0" w:before="80"/>
      </w:pPr>
    </w:p>
    <w:p>
      <w:pPr>
        <w:pStyle w:val="Heading2"/>
        <w:spacing w:after="60" w:before="220"/>
      </w:pPr>
      <w:r>
        <w:rPr>
          <w:rFonts w:ascii="Arial" w:cs="Arial" w:eastAsia="Arial" w:hAnsi="Arial"/>
          <w:b/>
          <w:bCs/>
          <w:color w:val="1A1A1A"/>
          <w:sz w:val="21"/>
          <w:szCs w:val="21"/>
        </w:rPr>
        <w:t xml:space="preserve">P1 — Critical Before Institutional Deployment</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6800"/>
        <w:gridCol w:w="1600"/>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w:t>
            </w:r>
          </w:p>
        </w:tc>
        <w:tc>
          <w:tcPr>
            <w:tcW w:type="dxa" w:w="68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Item</w:t>
            </w:r>
          </w:p>
        </w:tc>
        <w:tc>
          <w:tcPr>
            <w:tcW w:type="dxa" w:w="16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Status</w:t>
            </w:r>
          </w:p>
        </w:tc>
      </w:tr>
      <w:tr>
        <w:tc>
          <w:tcPr>
            <w:tcW w:type="dxa" w:w="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T1</w:t>
            </w:r>
          </w:p>
        </w:tc>
        <w:tc>
          <w:tcPr>
            <w:tcW w:type="dxa" w:w="6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Audit event_data JSONB in order_events for PII. Live potential exposure.</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P1 — CRITICAL</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T2</w:t>
            </w:r>
          </w:p>
        </w:tc>
        <w:tc>
          <w:tcPr>
            <w:tcW w:type="dxa" w:w="6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Audit error_message field in orders for PII.</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P1 — CRITICAL</w:t>
            </w:r>
          </w:p>
        </w:tc>
      </w:tr>
      <w:tr>
        <w:tc>
          <w:tcPr>
            <w:tcW w:type="dxa" w:w="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T3</w:t>
            </w:r>
          </w:p>
        </w:tc>
        <w:tc>
          <w:tcPr>
            <w:tcW w:type="dxa" w:w="6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Audit all AWS service outputs: SageMaker, CloudWatch, SQS, SNS, EventBridge.</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P1 — CRITICAL</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T4</w:t>
            </w:r>
          </w:p>
        </w:tc>
        <w:tc>
          <w:tcPr>
            <w:tcW w:type="dxa" w:w="6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Audit Slack notifications for PII.</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P1 — CRITICAL</w:t>
            </w:r>
          </w:p>
        </w:tc>
      </w:tr>
      <w:tr>
        <w:tc>
          <w:tcPr>
            <w:tcW w:type="dxa" w:w="4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T5</w:t>
            </w:r>
          </w:p>
        </w:tc>
        <w:tc>
          <w:tcPr>
            <w:tcW w:type="dxa" w:w="6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Produce DPA template. Blocks all direct channel distribution.</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P1 — BLOCKING</w:t>
            </w:r>
          </w:p>
        </w:tc>
      </w:tr>
    </w:tbl>
    <w:p>
      <w:pPr>
        <w:spacing w:after="0" w:before="80"/>
      </w:pPr>
    </w:p>
    <w:p>
      <w:pPr>
        <w:pStyle w:val="Heading2"/>
        <w:spacing w:after="60" w:before="220"/>
      </w:pPr>
      <w:r>
        <w:rPr>
          <w:rFonts w:ascii="Arial" w:cs="Arial" w:eastAsia="Arial" w:hAnsi="Arial"/>
          <w:b/>
          <w:bCs/>
          <w:color w:val="1A1A1A"/>
          <w:sz w:val="21"/>
          <w:szCs w:val="21"/>
        </w:rPr>
        <w:t xml:space="preserve">New Documents Required</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200"/>
        <w:gridCol w:w="2900"/>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Ref</w:t>
            </w:r>
          </w:p>
        </w:tc>
        <w:tc>
          <w:tcPr>
            <w:tcW w:type="dxa" w:w="42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Document</w:t>
            </w:r>
          </w:p>
        </w:tc>
        <w:tc>
          <w:tcPr>
            <w:tcW w:type="dxa" w:w="12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Tier</w:t>
            </w:r>
          </w:p>
        </w:tc>
        <w:tc>
          <w:tcPr>
            <w:tcW w:type="dxa" w:w="29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Status</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N1</w:t>
            </w:r>
          </w:p>
        </w:tc>
        <w:tc>
          <w:tcPr>
            <w:tcW w:type="dxa" w:w="4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ip-implementation-paper (standalone prospect document, not Unvarnished)</w:t>
            </w:r>
          </w:p>
        </w:tc>
        <w:tc>
          <w:tcPr>
            <w:tcW w:type="dxa" w:w="1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2</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N2</w:t>
            </w:r>
          </w:p>
        </w:tc>
        <w:tc>
          <w:tcPr>
            <w:tcW w:type="dxa" w:w="4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ip-house-proposition (Vektor : House direct institutional value proposition)</w:t>
            </w:r>
          </w:p>
        </w:tc>
        <w:tc>
          <w:tcPr>
            <w:tcW w:type="dxa" w:w="1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2</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N3</w:t>
            </w:r>
          </w:p>
        </w:tc>
        <w:tc>
          <w:tcPr>
            <w:tcW w:type="dxa" w:w="4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ip-eam-end-user-guide (for EAMs receiving Vektor through a Wrapped bank)</w:t>
            </w:r>
          </w:p>
        </w:tc>
        <w:tc>
          <w:tcPr>
            <w:tcW w:type="dxa" w:w="1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2</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N4</w:t>
            </w:r>
          </w:p>
        </w:tc>
        <w:tc>
          <w:tcPr>
            <w:tcW w:type="dxa" w:w="4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ip-wrapped-brief (renamed from custodian-bank-brief, Partner-as-licensee frame)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3</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N5</w:t>
            </w:r>
          </w:p>
        </w:tc>
        <w:tc>
          <w:tcPr>
            <w:tcW w:type="dxa" w:w="4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ip-migration-framework (both directions, all channels, Founding Mandate terms on migration)</w:t>
            </w:r>
          </w:p>
        </w:tc>
        <w:tc>
          <w:tcPr>
            <w:tcW w:type="dxa" w:w="1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3</w:t>
            </w:r>
          </w:p>
        </w:tc>
        <w:tc>
          <w:tcPr>
            <w:tcW w:type="dxa" w:w="14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BEFORE FIRST CLIENT SIGNS</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N6</w:t>
            </w:r>
          </w:p>
        </w:tc>
        <w:tc>
          <w:tcPr>
            <w:tcW w:type="dxa" w:w="4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ip-dual-channel-framework (master agreement structure, two-instance requirement, CoI position)</w:t>
            </w:r>
          </w:p>
        </w:tc>
        <w:tc>
          <w:tcPr>
            <w:tcW w:type="dxa" w:w="1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3</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N7</w:t>
            </w:r>
          </w:p>
        </w:tc>
        <w:tc>
          <w:tcPr>
            <w:tcW w:type="dxa" w:w="4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ip-dpa-template-boutique</w:t>
            </w:r>
          </w:p>
        </w:tc>
        <w:tc>
          <w:tcPr>
            <w:tcW w:type="dxa" w:w="1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3</w:t>
            </w:r>
          </w:p>
        </w:tc>
        <w:tc>
          <w:tcPr>
            <w:tcW w:type="dxa" w:w="14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BLOCKS DISTRIBUTION</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N8</w:t>
            </w:r>
          </w:p>
        </w:tc>
        <w:tc>
          <w:tcPr>
            <w:tcW w:type="dxa" w:w="4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ip-dpa-template-house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3</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N9</w:t>
            </w:r>
          </w:p>
        </w:tc>
        <w:tc>
          <w:tcPr>
            <w:tcW w:type="dxa" w:w="4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ip-dpa-template-wrapped</w:t>
            </w:r>
          </w:p>
        </w:tc>
        <w:tc>
          <w:tcPr>
            <w:tcW w:type="dxa" w:w="1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3</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N10</w:t>
            </w:r>
          </w:p>
        </w:tc>
        <w:tc>
          <w:tcPr>
            <w:tcW w:type="dxa" w:w="4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ip-regulatory-matrix-uk (placeholder — pending UK-01)</w:t>
            </w:r>
          </w:p>
        </w:tc>
        <w:tc>
          <w:tcPr>
            <w:tcW w:type="dxa" w:w="1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Tier 3</w:t>
            </w:r>
          </w:p>
        </w:tc>
        <w:tc>
          <w:tcPr>
            <w:tcW w:type="dxa" w:w="14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PENDING UK-01</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N11</w:t>
            </w:r>
          </w:p>
        </w:tc>
        <w:tc>
          <w:tcPr>
            <w:tcW w:type="dxa" w:w="4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UAT scenario template</w:t>
            </w:r>
          </w:p>
        </w:tc>
        <w:tc>
          <w:tcPr>
            <w:tcW w:type="dxa" w:w="12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Internal</w:t>
            </w:r>
          </w:p>
        </w:tc>
        <w:tc>
          <w:tcPr>
            <w:tcW w:type="dxa" w:w="14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REQUIRED</w:t>
            </w:r>
          </w:p>
        </w:tc>
      </w:tr>
    </w:tbl>
    <w:p>
      <w:pPr>
        <w:spacing w:after="0" w:before="80"/>
      </w:pPr>
    </w:p>
    <w:p>
      <w:pPr>
        <w:pStyle w:val="Heading2"/>
        <w:spacing w:after="60" w:before="220"/>
      </w:pPr>
      <w:r>
        <w:rPr>
          <w:rFonts w:ascii="Arial" w:cs="Arial" w:eastAsia="Arial" w:hAnsi="Arial"/>
          <w:b/>
          <w:bCs/>
          <w:color w:val="1A1A1A"/>
          <w:sz w:val="21"/>
          <w:szCs w:val="21"/>
        </w:rPr>
        <w:t xml:space="preserve">Existing Documents to Update</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500"/>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Ref</w:t>
            </w:r>
          </w:p>
        </w:tc>
        <w:tc>
          <w:tcPr>
            <w:tcW w:type="dxa" w:w="28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Document</w:t>
            </w:r>
          </w:p>
        </w:tc>
        <w:tc>
          <w:tcPr>
            <w:tcW w:type="dxa" w:w="55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Change</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D1</w:t>
            </w:r>
          </w:p>
        </w:tc>
        <w:tc>
          <w:tcPr>
            <w:tcW w:type="dxa" w:w="2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ip-eam-proposition</w:t>
            </w:r>
          </w:p>
        </w:tc>
        <w:tc>
          <w:tcPr>
            <w:tcW w:type="dxa" w:w="5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Fork into ip-house-proposition + ip-eam-end-user-guide</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D2</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vk5-dd-navigation-guide</w:t>
            </w:r>
          </w:p>
        </w:tc>
        <w:tc>
          <w:tcPr>
            <w:tcW w:type="dxa" w:w="5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Three-entity framework. Add House proposition and EAM end-user guide when produced.</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D3</w:t>
            </w:r>
          </w:p>
        </w:tc>
        <w:tc>
          <w:tcPr>
            <w:tcW w:type="dxa" w:w="2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WP-07</w:t>
            </w:r>
          </w:p>
        </w:tc>
        <w:tc>
          <w:tcPr>
            <w:tcW w:type="dxa" w:w="5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Multi-custodian architecture section + order routing section</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D4</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DATA-MODEL-overview</w:t>
            </w:r>
          </w:p>
        </w:tc>
        <w:tc>
          <w:tcPr>
            <w:tcW w:type="dxa" w:w="5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Classification column for every field + custodian_master + client_mandate + new order/portfolio fields</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D5</w:t>
            </w:r>
          </w:p>
        </w:tc>
        <w:tc>
          <w:tcPr>
            <w:tcW w:type="dxa" w:w="2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ip-regulatory-matrix-sg and ip-regulatory-matrix-ch</w:t>
            </w:r>
          </w:p>
        </w:tc>
        <w:tc>
          <w:tcPr>
            <w:tcW w:type="dxa" w:w="5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Add dual-channel conflict of interest position statement</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D6</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ip-repository-structure</w:t>
            </w:r>
          </w:p>
        </w:tc>
        <w:tc>
          <w:tcPr>
            <w:tcW w:type="dxa" w:w="5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Three sub-brand names, new document categories, dual-channel distribution log</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D7</w:t>
            </w:r>
          </w:p>
        </w:tc>
        <w:tc>
          <w:tcPr>
            <w:tcW w:type="dxa" w:w="2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ip-handoff</w:t>
            </w:r>
          </w:p>
        </w:tc>
        <w:tc>
          <w:tcPr>
            <w:tcW w:type="dxa" w:w="5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This document + HANDOFF-260513-1.0 together form the complete handoff</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bCs/>
                <w:color w:val="1A1A1A"/>
                <w:sz w:val="16"/>
                <w:szCs w:val="16"/>
              </w:rPr>
              <w:t xml:space="preserve">D8</w:t>
            </w:r>
          </w:p>
        </w:tc>
        <w:tc>
          <w:tcPr>
            <w:tcW w:type="dxa" w:w="2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ip-investor-onepager</w:t>
            </w:r>
          </w:p>
        </w:tc>
        <w:tc>
          <w:tcPr>
            <w:tcW w:type="dxa" w:w="5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b w:val="false"/>
                <w:bCs w:val="false"/>
                <w:color w:val="333333"/>
                <w:sz w:val="16"/>
                <w:szCs w:val="16"/>
              </w:rPr>
              <w:t xml:space="preserve">Three sub-brand names, three revenue streams, dual-channel upside</w:t>
            </w:r>
          </w:p>
        </w:tc>
      </w:tr>
      <w:tr>
        <w:tc>
          <w:tcPr>
            <w:tcW w:type="dxa" w:w="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bCs/>
                <w:color w:val="1A1A1A"/>
                <w:sz w:val="16"/>
                <w:szCs w:val="16"/>
              </w:rPr>
              <w:t xml:space="preserve">D9</w:t>
            </w:r>
          </w:p>
        </w:tc>
        <w:tc>
          <w:tcPr>
            <w:tcW w:type="dxa" w:w="28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README.md</w:t>
            </w:r>
          </w:p>
        </w:tc>
        <w:tc>
          <w:tcPr>
            <w:tcW w:type="dxa" w:w="5500"/>
            <w:tcBorders>
              <w:top w:val="single" w:color="CCCCCC" w:sz="1"/>
              <w:left w:val="single" w:color="CCCCCC" w:sz="1"/>
              <w:bottom w:val="single" w:color="CCCCCC" w:sz="1"/>
              <w:right w:val="single" w:color="CCCCCC" w:sz="1"/>
            </w:tcBorders>
            <w:shd w:fill="FDF9F2" w:val="clear"/>
            <w:tcMar>
              <w:top w:type="dxa" w:w="55"/>
              <w:left w:type="dxa" w:w="100"/>
              <w:bottom w:type="dxa" w:w="55"/>
              <w:right w:type="dxa" w:w="100"/>
            </w:tcMar>
          </w:tcPr>
          <w:p>
            <w:r>
              <w:rPr>
                <w:rFonts w:ascii="Arial" w:cs="Arial" w:eastAsia="Arial" w:hAnsi="Arial"/>
                <w:b w:val="false"/>
                <w:bCs w:val="false"/>
                <w:color w:val="333333"/>
                <w:sz w:val="16"/>
                <w:szCs w:val="16"/>
              </w:rPr>
              <w:t xml:space="preserve">Three sub-brand architecture, three-entity framework, revised raise, three revenue streams</w:t>
            </w:r>
          </w:p>
        </w:tc>
      </w:tr>
    </w:tbl>
    <w:p>
      <w:pPr>
        <w:pStyle w:val="Heading1"/>
        <w:pBdr>
          <w:bottom w:val="single" w:color="1A3A5C" w:sz="3" w:space="4"/>
        </w:pBdr>
        <w:spacing w:after="80" w:before="320"/>
      </w:pPr>
      <w:r>
        <w:rPr>
          <w:rFonts w:ascii="Arial" w:cs="Arial" w:eastAsia="Arial" w:hAnsi="Arial"/>
          <w:b/>
          <w:bCs/>
          <w:caps/>
          <w:color w:val="1A3A5C"/>
          <w:sz w:val="24"/>
          <w:szCs w:val="24"/>
        </w:rPr>
        <w:t xml:space="preserve">Priority Actions for Next Session</w:t>
      </w:r>
    </w:p>
    <w:p>
      <w:pPr>
        <w:pStyle w:val="ListParagraph"/>
        <w:numPr>
          <w:ilvl w:val="0"/>
          <w:numId w:val="3"/>
        </w:numPr>
        <w:spacing w:after="55" w:before="55"/>
      </w:pPr>
      <w:r>
        <w:rPr>
          <w:rFonts w:ascii="Arial" w:cs="Arial" w:eastAsia="Arial" w:hAnsi="Arial"/>
          <w:b/>
          <w:bCs/>
          <w:color w:val="1A1A1A"/>
          <w:sz w:val="20"/>
          <w:szCs w:val="20"/>
        </w:rPr>
        <w:t xml:space="preserve">Start the first Founding Mandate conversation. </w:t>
      </w:r>
      <w:r>
        <w:rPr>
          <w:rFonts w:ascii="Arial" w:cs="Arial" w:eastAsia="Arial" w:hAnsi="Arial"/>
          <w:color w:val="333333"/>
          <w:sz w:val="20"/>
          <w:szCs w:val="20"/>
        </w:rPr>
        <w:t xml:space="preserve">The suite is complete. The architecture is resolved. This is the commercial priority and it is overdue.</w:t>
      </w:r>
    </w:p>
    <w:p>
      <w:pPr>
        <w:pStyle w:val="ListParagraph"/>
        <w:numPr>
          <w:ilvl w:val="0"/>
          <w:numId w:val="3"/>
        </w:numPr>
        <w:spacing w:after="55" w:before="55"/>
      </w:pPr>
      <w:r>
        <w:rPr>
          <w:rFonts w:ascii="Arial" w:cs="Arial" w:eastAsia="Arial" w:hAnsi="Arial"/>
          <w:b/>
          <w:bCs/>
          <w:color w:val="1A1A1A"/>
          <w:sz w:val="20"/>
          <w:szCs w:val="20"/>
        </w:rPr>
        <w:t xml:space="preserve">Commission Singapore and Swiss legal counsel for DPA template </w:t>
      </w:r>
      <w:r>
        <w:rPr>
          <w:rFonts w:ascii="Arial" w:cs="Arial" w:eastAsia="Arial" w:hAnsi="Arial"/>
          <w:color w:val="333333"/>
          <w:sz w:val="20"/>
          <w:szCs w:val="20"/>
        </w:rPr>
        <w:t xml:space="preserve">(T5 above — blocks all direct channel distribution).</w:t>
      </w:r>
    </w:p>
    <w:p>
      <w:pPr>
        <w:pStyle w:val="ListParagraph"/>
        <w:numPr>
          <w:ilvl w:val="0"/>
          <w:numId w:val="3"/>
        </w:numPr>
        <w:spacing w:after="55" w:before="55"/>
      </w:pPr>
      <w:r>
        <w:rPr>
          <w:rFonts w:ascii="Arial" w:cs="Arial" w:eastAsia="Arial" w:hAnsi="Arial"/>
          <w:b/>
          <w:bCs/>
          <w:color w:val="1A1A1A"/>
          <w:sz w:val="20"/>
          <w:szCs w:val="20"/>
        </w:rPr>
        <w:t xml:space="preserve">Produce ip-migration-framework </w:t>
      </w:r>
      <w:r>
        <w:rPr>
          <w:rFonts w:ascii="Arial" w:cs="Arial" w:eastAsia="Arial" w:hAnsi="Arial"/>
          <w:color w:val="333333"/>
          <w:sz w:val="20"/>
          <w:szCs w:val="20"/>
        </w:rPr>
        <w:t xml:space="preserve">before any client signs.</w:t>
      </w:r>
    </w:p>
    <w:p>
      <w:pPr>
        <w:pStyle w:val="ListParagraph"/>
        <w:numPr>
          <w:ilvl w:val="0"/>
          <w:numId w:val="3"/>
        </w:numPr>
        <w:spacing w:after="55" w:before="55"/>
      </w:pPr>
      <w:r>
        <w:rPr>
          <w:rFonts w:ascii="Arial" w:cs="Arial" w:eastAsia="Arial" w:hAnsi="Arial"/>
          <w:b/>
          <w:bCs/>
          <w:color w:val="1A1A1A"/>
          <w:sz w:val="20"/>
          <w:szCs w:val="20"/>
        </w:rPr>
        <w:t xml:space="preserve">Rebuild ip-brand-story </w:t>
      </w:r>
      <w:r>
        <w:rPr>
          <w:rFonts w:ascii="Arial" w:cs="Arial" w:eastAsia="Arial" w:hAnsi="Arial"/>
          <w:color w:val="333333"/>
          <w:sz w:val="20"/>
          <w:szCs w:val="20"/>
        </w:rPr>
        <w:t xml:space="preserve">in InvestPuppy green. Open: 'The colour changed. That was deliberate.' Close: 'Two routes from here.'</w:t>
      </w:r>
    </w:p>
    <w:p>
      <w:pPr>
        <w:pStyle w:val="ListParagraph"/>
        <w:numPr>
          <w:ilvl w:val="0"/>
          <w:numId w:val="3"/>
        </w:numPr>
        <w:spacing w:after="55" w:before="55"/>
      </w:pPr>
      <w:r>
        <w:rPr>
          <w:rFonts w:ascii="Arial" w:cs="Arial" w:eastAsia="Arial" w:hAnsi="Arial"/>
          <w:b/>
          <w:bCs/>
          <w:color w:val="1A1A1A"/>
          <w:sz w:val="20"/>
          <w:szCs w:val="20"/>
        </w:rPr>
        <w:t xml:space="preserve">Complete T1–T4 audits </w:t>
      </w:r>
      <w:r>
        <w:rPr>
          <w:rFonts w:ascii="Arial" w:cs="Arial" w:eastAsia="Arial" w:hAnsi="Arial"/>
          <w:color w:val="333333"/>
          <w:sz w:val="20"/>
          <w:szCs w:val="20"/>
        </w:rPr>
        <w:t xml:space="preserve">(event_data, error_message, AWS services, Slack) before institutional deployment.</w:t>
      </w:r>
    </w:p>
    <w:p>
      <w:pPr>
        <w:pStyle w:val="ListParagraph"/>
        <w:numPr>
          <w:ilvl w:val="0"/>
          <w:numId w:val="3"/>
        </w:numPr>
        <w:spacing w:after="55" w:before="55"/>
      </w:pPr>
      <w:r>
        <w:rPr>
          <w:rFonts w:ascii="Arial" w:cs="Arial" w:eastAsia="Arial" w:hAnsi="Arial"/>
          <w:b/>
          <w:bCs/>
          <w:color w:val="1A1A1A"/>
          <w:sz w:val="20"/>
          <w:szCs w:val="20"/>
        </w:rPr>
        <w:t xml:space="preserve">Implement data model additions T6–T11 </w:t>
      </w:r>
      <w:r>
        <w:rPr>
          <w:rFonts w:ascii="Arial" w:cs="Arial" w:eastAsia="Arial" w:hAnsi="Arial"/>
          <w:color w:val="333333"/>
          <w:sz w:val="20"/>
          <w:szCs w:val="20"/>
        </w:rPr>
        <w:t xml:space="preserve">(custodian_master, client_mandate, routing_method). Architect now, implement progressively.</w:t>
      </w:r>
    </w:p>
    <w:p>
      <w:pPr>
        <w:pStyle w:val="ListParagraph"/>
        <w:numPr>
          <w:ilvl w:val="0"/>
          <w:numId w:val="3"/>
        </w:numPr>
        <w:spacing w:after="55" w:before="55"/>
      </w:pPr>
      <w:r>
        <w:rPr>
          <w:rFonts w:ascii="Arial" w:cs="Arial" w:eastAsia="Arial" w:hAnsi="Arial"/>
          <w:b/>
          <w:bCs/>
          <w:color w:val="1A1A1A"/>
          <w:sz w:val="20"/>
          <w:szCs w:val="20"/>
        </w:rPr>
        <w:t xml:space="preserve">Build financial model </w:t>
      </w:r>
      <w:r>
        <w:rPr>
          <w:rFonts w:ascii="Arial" w:cs="Arial" w:eastAsia="Arial" w:hAnsi="Arial"/>
          <w:color w:val="333333"/>
          <w:sz w:val="20"/>
          <w:szCs w:val="20"/>
        </w:rPr>
        <w:t xml:space="preserve">with three revenue streams: Boutique ARR, House ARR, Wrapped licence + per-mandate.</w:t>
      </w:r>
    </w:p>
    <w:p>
      <w:pPr>
        <w:pStyle w:val="ListParagraph"/>
        <w:numPr>
          <w:ilvl w:val="0"/>
          <w:numId w:val="3"/>
        </w:numPr>
        <w:spacing w:after="55" w:before="55"/>
      </w:pPr>
      <w:r>
        <w:rPr>
          <w:rFonts w:ascii="Arial" w:cs="Arial" w:eastAsia="Arial" w:hAnsi="Arial"/>
          <w:b/>
          <w:bCs/>
          <w:color w:val="1A1A1A"/>
          <w:sz w:val="20"/>
          <w:szCs w:val="20"/>
        </w:rPr>
        <w:t xml:space="preserve">Produce ip-wrapped-brief, ip-house-proposition, ip-eam-end-user-guide. </w:t>
      </w:r>
      <w:r>
        <w:rPr>
          <w:rFonts w:ascii="Arial" w:cs="Arial" w:eastAsia="Arial" w:hAnsi="Arial"/>
          <w:color w:val="333333"/>
          <w:sz w:val="20"/>
          <w:szCs w:val="20"/>
        </w:rPr>
        <w:t xml:space="preserve">Commercial documents that now have clear audiences.</w:t>
      </w:r>
    </w:p>
    <w:p>
      <w:pPr>
        <w:spacing w:after="0" w:before="160"/>
      </w:pPr>
    </w:p>
    <w:p>
      <w:pPr>
        <w:pBdr>
          <w:bottom w:val="single" w:color="1A3A5C" w:sz="6" w:space="1"/>
        </w:pBdr>
        <w:spacing w:after="120" w:before="0"/>
      </w:pPr>
    </w:p>
    <w:p>
      <w:pPr>
        <w:spacing w:after="0" w:before="60"/>
      </w:pPr>
    </w:p>
    <w:p>
      <w:pPr>
        <w:spacing w:after="40" w:before="40" w:line="310" w:lineRule="auto"/>
      </w:pPr>
      <w:r>
        <w:rPr>
          <w:rFonts w:ascii="Arial" w:cs="Arial" w:eastAsia="Arial" w:hAnsi="Arial"/>
          <w:b w:val="false"/>
          <w:bCs w:val="false"/>
          <w:i/>
          <w:iCs/>
          <w:color w:val="333333"/>
          <w:sz w:val="20"/>
          <w:szCs w:val="20"/>
        </w:rPr>
        <w:t xml:space="preserve">This document is the continuation handoff for the May 2026 session. Read alongside HANDOFF-260513-1.0. Both documents together form the complete session record.</w:t>
      </w:r>
    </w:p>
    <w:p>
      <w:pPr>
        <w:spacing w:after="0" w:before="0"/>
      </w:pPr>
      <w:r>
        <w:rPr>
          <w:rFonts w:ascii="Arial" w:cs="Arial" w:eastAsia="Arial" w:hAnsi="Arial"/>
          <w:color w:val="666666"/>
          <w:sz w:val="16"/>
          <w:szCs w:val="16"/>
        </w:rPr>
        <w:t xml:space="preserve">InvestPuppy · investpuppy.com · IP-HANDOFF-260513-B · May 2026 · Internal only</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1"/>
      </w:pBdr>
      <w:tabs>
        <w:tab w:val="right" w:pos="8800"/>
      </w:tabs>
      <w:spacing w:after="0" w:before="100"/>
    </w:pPr>
    <w:r>
      <w:rPr>
        <w:rFonts w:ascii="Arial" w:cs="Arial" w:eastAsia="Arial" w:hAnsi="Arial"/>
        <w:i/>
        <w:iCs/>
        <w:color w:val="AAAAAA"/>
        <w:sz w:val="14"/>
        <w:szCs w:val="14"/>
      </w:rPr>
      <w:t xml:space="preserve">Internal only · Not for distribution</w:t>
    </w:r>
    <w:r>
      <w:rPr>
        <w:rFonts w:ascii="Arial" w:cs="Arial" w:eastAsia="Arial" w:hAnsi="Arial"/>
        <w:color w:val="AAAAAA"/>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tabs>
        <w:tab w:val="right" w:pos="8800"/>
      </w:tabs>
      <w:spacing w:after="100" w:before="0"/>
    </w:pPr>
    <w:r>
      <w:rPr>
        <w:rFonts w:ascii="Arial" w:cs="Arial" w:eastAsia="Arial" w:hAnsi="Arial"/>
        <w:b/>
        <w:bCs/>
        <w:color w:val="1A3A5C"/>
        <w:sz w:val="15"/>
        <w:szCs w:val="15"/>
      </w:rPr>
      <w:t xml:space="preserve">InvestPuppy · Session Handoff B · IP-HANDOFF-260513-B</w:t>
    </w:r>
    <w:r>
      <w:rPr>
        <w:rFonts w:ascii="Arial" w:cs="Arial" w:eastAsia="Arial" w:hAnsi="Arial"/>
        <w:color w:val="AAAAAA"/>
        <w:sz w:val="14"/>
        <w:szCs w:val="14"/>
      </w:rPr>
      <w:t xml:space="preserve">	Internal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320"/>
      <w:outlineLvl w:val="0"/>
    </w:pPr>
    <w:rPr>
      <w:rFonts w:ascii="Arial" w:cs="Arial" w:eastAsia="Arial" w:hAnsi="Arial"/>
      <w:b/>
      <w:bCs/>
      <w:caps/>
      <w:color w:val="1A3A5C"/>
      <w:sz w:val="24"/>
      <w:szCs w:val="24"/>
    </w:rPr>
  </w:style>
  <w:style w:type="paragraph" w:styleId="Heading2">
    <w:name w:val="Heading 2"/>
    <w:basedOn w:val="Normal"/>
    <w:next w:val="Normal"/>
    <w:pPr>
      <w:spacing w:after="60" w:before="220"/>
      <w:outlineLvl w:val="1"/>
    </w:pPr>
    <w:rPr>
      <w:rFonts w:ascii="Arial" w:cs="Arial" w:eastAsia="Arial" w:hAnsi="Arial"/>
      <w:b/>
      <w:bCs/>
      <w:color w:val="1A1A1A"/>
      <w:sz w:val="21"/>
      <w:szCs w:val="21"/>
    </w:rPr>
  </w:style>
  <w:style w:type="paragraph" w:styleId="Heading3">
    <w:name w:val="Heading 3"/>
    <w:basedOn w:val="Normal"/>
    <w:next w:val="Normal"/>
    <w:pPr>
      <w:spacing w:after="40" w:before="160"/>
      <w:outlineLvl w:val="2"/>
    </w:pPr>
    <w:rPr>
      <w:rFonts w:ascii="Arial" w:cs="Arial" w:eastAsia="Arial" w:hAnsi="Arial"/>
      <w:b/>
      <w:bCs/>
      <w:color w:val="1A3A5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2026-05-13T10:20:22.605Z</dcterms:created>
  <dcterms:modified xsi:type="dcterms:W3CDTF">2026-05-13T10:20:22.605Z</dcterms:modified>
</cp:coreProperties>
</file>

<file path=docProps/custom.xml><?xml version="1.0" encoding="utf-8"?>
<Properties xmlns="http://schemas.openxmlformats.org/officeDocument/2006/custom-properties" xmlns:vt="http://schemas.openxmlformats.org/officeDocument/2006/docPropsVTypes"/>
</file>