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p>
    <w:p>
      <w:pPr>
        <w:spacing w:after="40" w:before="0"/>
      </w:pPr>
      <w:r>
        <w:rPr>
          <w:rFonts w:ascii="Arial" w:cs="Arial" w:eastAsia="Arial" w:hAnsi="Arial"/>
          <w:b/>
          <w:bCs/>
          <w:caps/>
          <w:color w:val="C8A96E"/>
          <w:sz w:val="14"/>
          <w:szCs w:val="14"/>
        </w:rPr>
        <w:t xml:space="preserve">INVESTPUPPY</w:t>
      </w:r>
    </w:p>
    <w:p>
      <w:pPr>
        <w:spacing w:after="60" w:before="0"/>
      </w:pPr>
      <w:r>
        <w:rPr>
          <w:rFonts w:ascii="Arial" w:cs="Arial" w:eastAsia="Arial" w:hAnsi="Arial"/>
          <w:b/>
          <w:bCs/>
          <w:color w:val="E8E8EC"/>
          <w:sz w:val="44"/>
          <w:szCs w:val="44"/>
        </w:rPr>
        <w:t xml:space="preserve">Session Handoff</w:t>
      </w:r>
    </w:p>
    <w:p>
      <w:pPr>
        <w:spacing w:after="40" w:before="0"/>
      </w:pPr>
      <w:r>
        <w:rPr>
          <w:rFonts w:ascii="Arial" w:cs="Arial" w:eastAsia="Arial" w:hAnsi="Arial"/>
          <w:color w:val="C8A96E"/>
          <w:sz w:val="19"/>
          <w:szCs w:val="19"/>
        </w:rPr>
        <w:t xml:space="preserve">IP-HANDOFF-260513-1.0</w:t>
      </w:r>
    </w:p>
    <w:p>
      <w:pPr>
        <w:spacing w:after="0" w:before="0"/>
      </w:pPr>
      <w:r>
        <w:rPr>
          <w:rFonts w:ascii="Arial" w:cs="Arial" w:eastAsia="Arial" w:hAnsi="Arial"/>
          <w:color w:val="B8B4C0"/>
          <w:sz w:val="17"/>
          <w:szCs w:val="17"/>
        </w:rPr>
        <w:t xml:space="preserve">May 2026 · Internal only · Not for distribution</w:t>
      </w:r>
    </w:p>
    <w:p>
      <w:pPr>
        <w:pBdr>
          <w:bottom w:val="single" w:color="C8A96E" w:sz="10" w:space="1"/>
        </w:pBdr>
        <w:spacing w:after="180" w:before="0"/>
      </w:pPr>
    </w:p>
    <w:p>
      <w:pPr>
        <w:spacing w:after="0" w:before="60"/>
      </w:pPr>
    </w:p>
    <w:p>
      <w:pPr>
        <w:spacing w:after="50" w:before="50" w:line="315" w:lineRule="auto"/>
      </w:pPr>
      <w:r>
        <w:rPr>
          <w:rFonts w:ascii="Arial" w:cs="Arial" w:eastAsia="Arial" w:hAnsi="Arial"/>
          <w:b w:val="false"/>
          <w:bCs w:val="false"/>
          <w:i/>
          <w:iCs/>
          <w:color w:val="E8E2D9"/>
          <w:sz w:val="20"/>
          <w:szCs w:val="20"/>
        </w:rPr>
        <w:t xml:space="preserve">This document records every decision made, document produced, and action outstanding from the May 2026 working session. It is the master reference for continuing this work. Upload it alongside the repository zip to begin the next session.</w:t>
      </w:r>
    </w:p>
    <w:p>
      <w:pPr>
        <w:spacing w:after="0" w:before="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Start next session: upload repo zip + this file. Paste: “I am continuing work on InvestPuppy. Please read HANDOFF-260513.md carefully, then README.md. Confirm what you understand.”</w:t>
            </w:r>
          </w:p>
        </w:tc>
      </w:tr>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Commercial priority #1: start the first Founding Mandate conversation. The suite is ready. This is overdue.</w:t>
            </w:r>
          </w:p>
        </w:tc>
      </w:tr>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Brand priority #1: rebuild ip-brand-story in InvestPuppy green with new opening and bridge closing.</w:t>
            </w:r>
          </w:p>
        </w:tc>
      </w:tr>
    </w:tbl>
    <w:p>
      <w:pPr>
        <w:pStyle w:val="Heading1"/>
        <w:pBdr>
          <w:bottom w:val="single" w:color="C8A96E" w:sz="3" w:space="4"/>
        </w:pBdr>
        <w:spacing w:after="80" w:before="360"/>
      </w:pPr>
      <w:r>
        <w:rPr>
          <w:rFonts w:ascii="Arial" w:cs="Arial" w:eastAsia="Arial" w:hAnsi="Arial"/>
          <w:b/>
          <w:bCs/>
          <w:caps/>
          <w:color w:val="C8A96E"/>
          <w:sz w:val="24"/>
          <w:szCs w:val="24"/>
        </w:rPr>
        <w:t xml:space="preserve">1 · Strategic Decisions — Locked</w:t>
      </w:r>
    </w:p>
    <w:p>
      <w:pPr>
        <w:pStyle w:val="Heading2"/>
        <w:spacing w:after="60" w:before="240"/>
      </w:pPr>
      <w:r>
        <w:rPr>
          <w:rFonts w:ascii="Arial" w:cs="Arial" w:eastAsia="Arial" w:hAnsi="Arial"/>
          <w:b/>
          <w:bCs/>
          <w:color w:val="E8E8EC"/>
          <w:sz w:val="21"/>
          <w:szCs w:val="21"/>
        </w:rPr>
        <w:t xml:space="preserve">Two-Channel Model</w:t>
      </w:r>
    </w:p>
    <w:p>
      <w:pPr>
        <w:spacing w:after="50" w:before="50" w:line="315" w:lineRule="auto"/>
      </w:pPr>
      <w:r>
        <w:rPr>
          <w:rFonts w:ascii="Arial" w:cs="Arial" w:eastAsia="Arial" w:hAnsi="Arial"/>
          <w:b w:val="false"/>
          <w:bCs w:val="false"/>
          <w:i w:val="false"/>
          <w:iCs w:val="false"/>
          <w:color w:val="E8E2D9"/>
          <w:sz w:val="20"/>
          <w:szCs w:val="20"/>
        </w:rPr>
        <w:t xml:space="preserve">The original single-channel direct boutique positioning has been supplemented by an institutional licensing channel. Both run simultaneously on different timelines.</w:t>
      </w:r>
    </w:p>
    <w:p>
      <w:pPr>
        <w:spacing w:after="0" w:before="6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000"/>
      </w:tblGrid>
      <w:tr>
        <w:trPr>
          <w:tblHeader/>
        </w:trPr>
        <w:tc>
          <w:tcPr>
            <w:tcW w:type="dxa" w:w="2000"/>
            <w:tcBorders>
              <w:top w:val="single" w:color="2A2A35" w:sz="1"/>
              <w:left w:val="single" w:color="2A2A35" w:sz="1"/>
              <w:bottom w:val="single" w:color="2A2A35" w:sz="1"/>
              <w:right w:val="single" w:color="2A2A35" w:sz="1"/>
            </w:tcBorders>
            <w:shd w:fill="C8A96E" w:val="clear"/>
            <w:tcMar>
              <w:top w:type="dxa" w:w="65"/>
              <w:left w:type="dxa" w:w="100"/>
              <w:bottom w:type="dxa" w:w="65"/>
              <w:right w:type="dxa" w:w="100"/>
            </w:tcMar>
          </w:tcPr>
          <w:p>
            <w:r>
              <w:rPr>
                <w:rFonts w:ascii="Arial" w:cs="Arial" w:eastAsia="Arial" w:hAnsi="Arial"/>
                <w:b/>
                <w:bCs/>
                <w:color w:val="FFFFFF"/>
                <w:sz w:val="16"/>
                <w:szCs w:val="16"/>
              </w:rPr>
              <w:t xml:space="preserve">Channel</w:t>
            </w:r>
          </w:p>
        </w:tc>
        <w:tc>
          <w:tcPr>
            <w:tcW w:type="dxa" w:w="2000"/>
            <w:tcBorders>
              <w:top w:val="single" w:color="2A2A35" w:sz="1"/>
              <w:left w:val="single" w:color="2A2A35" w:sz="1"/>
              <w:bottom w:val="single" w:color="2A2A35" w:sz="1"/>
              <w:right w:val="single" w:color="2A2A35" w:sz="1"/>
            </w:tcBorders>
            <w:shd w:fill="C8A96E" w:val="clear"/>
            <w:tcMar>
              <w:top w:type="dxa" w:w="65"/>
              <w:left w:type="dxa" w:w="100"/>
              <w:bottom w:type="dxa" w:w="65"/>
              <w:right w:type="dxa" w:w="100"/>
            </w:tcMar>
          </w:tcPr>
          <w:p>
            <w:r>
              <w:rPr>
                <w:rFonts w:ascii="Arial" w:cs="Arial" w:eastAsia="Arial" w:hAnsi="Arial"/>
                <w:b/>
                <w:bCs/>
                <w:color w:val="FFFFFF"/>
                <w:sz w:val="16"/>
                <w:szCs w:val="16"/>
              </w:rPr>
              <w:t xml:space="preserve">Sub-brand</w:t>
            </w:r>
          </w:p>
        </w:tc>
        <w:tc>
          <w:tcPr>
            <w:tcW w:type="dxa" w:w="2600"/>
            <w:tcBorders>
              <w:top w:val="single" w:color="2A2A35" w:sz="1"/>
              <w:left w:val="single" w:color="2A2A35" w:sz="1"/>
              <w:bottom w:val="single" w:color="2A2A35" w:sz="1"/>
              <w:right w:val="single" w:color="2A2A35" w:sz="1"/>
            </w:tcBorders>
            <w:shd w:fill="C8A96E" w:val="clear"/>
            <w:tcMar>
              <w:top w:type="dxa" w:w="65"/>
              <w:left w:type="dxa" w:w="100"/>
              <w:bottom w:type="dxa" w:w="65"/>
              <w:right w:type="dxa" w:w="100"/>
            </w:tcMar>
          </w:tcPr>
          <w:p>
            <w:r>
              <w:rPr>
                <w:rFonts w:ascii="Arial" w:cs="Arial" w:eastAsia="Arial" w:hAnsi="Arial"/>
                <w:b/>
                <w:bCs/>
                <w:color w:val="FFFFFF"/>
                <w:sz w:val="16"/>
                <w:szCs w:val="16"/>
              </w:rPr>
              <w:t xml:space="preserve">Target</w:t>
            </w:r>
          </w:p>
        </w:tc>
        <w:tc>
          <w:tcPr>
            <w:tcW w:type="dxa" w:w="2000"/>
            <w:tcBorders>
              <w:top w:val="single" w:color="2A2A35" w:sz="1"/>
              <w:left w:val="single" w:color="2A2A35" w:sz="1"/>
              <w:bottom w:val="single" w:color="2A2A35" w:sz="1"/>
              <w:right w:val="single" w:color="2A2A35" w:sz="1"/>
            </w:tcBorders>
            <w:shd w:fill="C8A96E" w:val="clear"/>
            <w:tcMar>
              <w:top w:type="dxa" w:w="65"/>
              <w:left w:type="dxa" w:w="100"/>
              <w:bottom w:type="dxa" w:w="65"/>
              <w:right w:type="dxa" w:w="100"/>
            </w:tcMar>
          </w:tcPr>
          <w:p>
            <w:r>
              <w:rPr>
                <w:rFonts w:ascii="Arial" w:cs="Arial" w:eastAsia="Arial" w:hAnsi="Arial"/>
                <w:b/>
                <w:bCs/>
                <w:color w:val="FFFFFF"/>
                <w:sz w:val="16"/>
                <w:szCs w:val="16"/>
              </w:rPr>
              <w:t xml:space="preserve">Timeline</w:t>
            </w:r>
          </w:p>
        </w:tc>
      </w:tr>
      <w:tr>
        <w:tc>
          <w:tcPr>
            <w:tcW w:type="dxa" w:w="20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bCs/>
                <w:color w:val="E8E2D9"/>
                <w:sz w:val="16"/>
                <w:szCs w:val="16"/>
              </w:rPr>
              <w:t xml:space="preserve">Direct subscription</w:t>
            </w:r>
          </w:p>
        </w:tc>
        <w:tc>
          <w:tcPr>
            <w:tcW w:type="dxa" w:w="20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Vektor : Boutique</w:t>
            </w:r>
          </w:p>
        </w:tc>
        <w:tc>
          <w:tcPr>
            <w:tcW w:type="dxa" w:w="26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Boutique DPMs, EAMs, family offices</w:t>
            </w:r>
          </w:p>
        </w:tc>
        <w:tc>
          <w:tcPr>
            <w:tcW w:type="dxa" w:w="20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Revenue 3–6 months post-raise</w:t>
            </w:r>
          </w:p>
        </w:tc>
      </w:tr>
      <w:tr>
        <w:tc>
          <w:tcPr>
            <w:tcW w:type="dxa" w:w="20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bCs/>
                <w:color w:val="E8E2D9"/>
                <w:sz w:val="16"/>
                <w:szCs w:val="16"/>
              </w:rPr>
              <w:t xml:space="preserve">Institutional licensing</w:t>
            </w:r>
          </w:p>
        </w:tc>
        <w:tc>
          <w:tcPr>
            <w:tcW w:type="dxa" w:w="20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val="false"/>
                <w:bCs w:val="false"/>
                <w:color w:val="E8E2D9"/>
                <w:sz w:val="16"/>
                <w:szCs w:val="16"/>
              </w:rPr>
              <w:t xml:space="preserve">Vektor : Institutional</w:t>
            </w:r>
          </w:p>
        </w:tc>
        <w:tc>
          <w:tcPr>
            <w:tcW w:type="dxa" w:w="26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val="false"/>
                <w:bCs w:val="false"/>
                <w:color w:val="E8E2D9"/>
                <w:sz w:val="16"/>
                <w:szCs w:val="16"/>
              </w:rPr>
              <w:t xml:space="preserve">Custodian banks, wealth platforms via white-label OpenWealth API</w:t>
            </w:r>
          </w:p>
        </w:tc>
        <w:tc>
          <w:tcPr>
            <w:tcW w:type="dxa" w:w="20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val="false"/>
                <w:bCs w:val="false"/>
                <w:color w:val="E8E2D9"/>
                <w:sz w:val="16"/>
                <w:szCs w:val="16"/>
              </w:rPr>
              <w:t xml:space="preserve">First deal 6–12 months post-raise</w:t>
            </w:r>
          </w:p>
        </w:tc>
      </w:tr>
    </w:tbl>
    <w:p>
      <w:pPr>
        <w:spacing w:after="0" w:before="100"/>
      </w:pPr>
    </w:p>
    <w:p>
      <w:pPr>
        <w:pStyle w:val="Heading2"/>
        <w:spacing w:after="60" w:before="240"/>
      </w:pPr>
      <w:r>
        <w:rPr>
          <w:rFonts w:ascii="Arial" w:cs="Arial" w:eastAsia="Arial" w:hAnsi="Arial"/>
          <w:b/>
          <w:bCs/>
          <w:color w:val="E8E8EC"/>
          <w:sz w:val="21"/>
          <w:szCs w:val="21"/>
        </w:rPr>
        <w:t xml:space="preserve">Sub-brand Names — Locked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Vektor : Boutique — direct channel</w:t>
            </w:r>
          </w:p>
        </w:tc>
      </w:tr>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Vektor : Institutional — institutional licensing channel</w:t>
            </w:r>
          </w:p>
        </w:tc>
      </w:tr>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Colon with preceding space adopted universally — French/Swiss typographic convention applied as a deliberate brand decision across all markets, every document, every size.</w:t>
            </w:r>
          </w:p>
        </w:tc>
      </w:tr>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This is a brand rule, not a localisation variant. Brand guidelines must state it explicitly. No exceptions.</w:t>
            </w:r>
          </w:p>
        </w:tc>
      </w:tr>
    </w:tbl>
    <w:p>
      <w:pPr>
        <w:spacing w:after="0" w:before="80"/>
      </w:pPr>
    </w:p>
    <w:p>
      <w:pPr>
        <w:pStyle w:val="Heading2"/>
        <w:spacing w:after="60" w:before="240"/>
      </w:pPr>
      <w:r>
        <w:rPr>
          <w:rFonts w:ascii="Arial" w:cs="Arial" w:eastAsia="Arial" w:hAnsi="Arial"/>
          <w:b/>
          <w:bCs/>
          <w:color w:val="E8E8EC"/>
          <w:sz w:val="21"/>
          <w:szCs w:val="21"/>
        </w:rPr>
        <w:t xml:space="preserve">OpenWealth Credential</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CEO:</w:t>
      </w:r>
      <w:r>
        <w:rPr>
          <w:rFonts w:ascii="Arial" w:cs="Arial" w:eastAsia="Arial" w:hAnsi="Arial"/>
          <w:b w:val="false"/>
          <w:bCs w:val="false"/>
          <w:i w:val="false"/>
          <w:iCs w:val="false"/>
          <w:color w:val="E8E2D9"/>
          <w:sz w:val="20"/>
          <w:szCs w:val="20"/>
        </w:rPr>
        <w:t xml:space="preserve"> Production implementation of a generic OpenWealth API layer on a Tier 1 PMS across Europe, Middle East, and Asia Pacific.</w:t>
      </w:r>
    </w:p>
    <w:p>
      <w:pPr>
        <w:pStyle w:val="ListParagraph"/>
        <w:numPr>
          <w:ilvl w:val="0"/>
          <w:numId w:val="2"/>
        </w:numPr>
        <w:spacing w:after="55" w:before="55" w:line="295" w:lineRule="auto"/>
      </w:pPr>
      <w:r>
        <w:rPr>
          <w:rFonts w:ascii="Arial" w:cs="Arial" w:eastAsia="Arial" w:hAnsi="Arial"/>
          <w:color w:val="E8E2D9"/>
          <w:sz w:val="20"/>
          <w:szCs w:val="20"/>
        </w:rPr>
        <w:t xml:space="preserve">Disclosed under NDA until public launch. Stealth constraint: both founders employed by OpenWealth-embedded organisations.</w:t>
      </w:r>
    </w:p>
    <w:p>
      <w:pPr>
        <w:pStyle w:val="ListParagraph"/>
        <w:numPr>
          <w:ilvl w:val="0"/>
          <w:numId w:val="2"/>
        </w:numPr>
        <w:spacing w:after="55" w:before="55" w:line="295" w:lineRule="auto"/>
      </w:pPr>
      <w:r>
        <w:rPr>
          <w:rFonts w:ascii="Arial" w:cs="Arial" w:eastAsia="Arial" w:hAnsi="Arial"/>
          <w:color w:val="E8E2D9"/>
          <w:sz w:val="20"/>
          <w:szCs w:val="20"/>
        </w:rPr>
        <w:t xml:space="preserve">This credential is the basis of the institutional channel’s credibility. It must be disclosed in the first institutional conversation.</w:t>
      </w:r>
    </w:p>
    <w:p>
      <w:pPr>
        <w:spacing w:after="0" w:before="80"/>
      </w:pPr>
    </w:p>
    <w:p>
      <w:pPr>
        <w:pStyle w:val="Heading2"/>
        <w:spacing w:after="60" w:before="240"/>
      </w:pPr>
      <w:r>
        <w:rPr>
          <w:rFonts w:ascii="Arial" w:cs="Arial" w:eastAsia="Arial" w:hAnsi="Arial"/>
          <w:b/>
          <w:bCs/>
          <w:color w:val="E8E8EC"/>
          <w:sz w:val="21"/>
          <w:szCs w:val="21"/>
        </w:rPr>
        <w:t xml:space="preserve">Founding Team Structure</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Co-founders (CEO + CTO):</w:t>
      </w:r>
      <w:r>
        <w:rPr>
          <w:rFonts w:ascii="Arial" w:cs="Arial" w:eastAsia="Arial" w:hAnsi="Arial"/>
          <w:b w:val="false"/>
          <w:bCs w:val="false"/>
          <w:i w:val="false"/>
          <w:iCs w:val="false"/>
          <w:color w:val="E8E2D9"/>
          <w:sz w:val="20"/>
          <w:szCs w:val="20"/>
        </w:rPr>
        <w:t xml:space="preserve"> Equal ownership. Equal voice. Decade of working together. “I could not have done it without him. He could not have done it without me.”</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Pre-launch team:</w:t>
      </w:r>
      <w:r>
        <w:rPr>
          <w:rFonts w:ascii="Arial" w:cs="Arial" w:eastAsia="Arial" w:hAnsi="Arial"/>
          <w:b w:val="false"/>
          <w:bCs w:val="false"/>
          <w:i w:val="false"/>
          <w:iCs w:val="false"/>
          <w:color w:val="E8E2D9"/>
          <w:sz w:val="20"/>
          <w:szCs w:val="20"/>
        </w:rPr>
        <w:t xml:space="preserve"> Three collaborators with decades of shared institutional experience in exactly this space.</w:t>
      </w:r>
    </w:p>
    <w:p>
      <w:pPr>
        <w:pStyle w:val="ListParagraph"/>
        <w:numPr>
          <w:ilvl w:val="0"/>
          <w:numId w:val="2"/>
        </w:numPr>
        <w:spacing w:after="55" w:before="55" w:line="295" w:lineRule="auto"/>
      </w:pPr>
      <w:r>
        <w:rPr>
          <w:rFonts w:ascii="Arial" w:cs="Arial" w:eastAsia="Arial" w:hAnsi="Arial"/>
          <w:color w:val="E8E2D9"/>
          <w:sz w:val="20"/>
          <w:szCs w:val="20"/>
        </w:rPr>
        <w:t xml:space="preserve">Investor pack team section must reflect all five. NDA version: real names. Public version: CEO/CTO titles + “pre-launch team of three.”</w:t>
      </w:r>
    </w:p>
    <w:p>
      <w:pPr>
        <w:spacing w:after="0" w:before="80"/>
      </w:pPr>
    </w:p>
    <w:p>
      <w:pPr>
        <w:pStyle w:val="Heading2"/>
        <w:spacing w:after="60" w:before="240"/>
      </w:pPr>
      <w:r>
        <w:rPr>
          <w:rFonts w:ascii="Arial" w:cs="Arial" w:eastAsia="Arial" w:hAnsi="Arial"/>
          <w:b/>
          <w:bCs/>
          <w:color w:val="E8E8EC"/>
          <w:sz w:val="21"/>
          <w:szCs w:val="21"/>
        </w:rPr>
        <w:t xml:space="preserve">Funding Ask — Revised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300"/>
        <w:gridCol w:w="6300"/>
      </w:tblGrid>
      <w:tr>
        <w:tc>
          <w:tcPr>
            <w:tcW w:type="dxa" w:w="2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Previous</w:t>
            </w:r>
          </w:p>
        </w:tc>
        <w:tc>
          <w:tcPr>
            <w:tcW w:type="dxa" w:w="6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S$1M–S$2M (SGD)</w:t>
            </w:r>
          </w:p>
        </w:tc>
      </w:tr>
      <w:tr>
        <w:tc>
          <w:tcPr>
            <w:tcW w:type="dxa" w:w="2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Revised</w:t>
            </w:r>
          </w:p>
        </w:tc>
        <w:tc>
          <w:tcPr>
            <w:tcW w:type="dxa" w:w="6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US$1.5M–US$2.25M</w:t>
            </w:r>
          </w:p>
        </w:tc>
      </w:tr>
      <w:tr>
        <w:tc>
          <w:tcPr>
            <w:tcW w:type="dxa" w:w="2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Rationale</w:t>
            </w:r>
          </w:p>
        </w:tc>
        <w:tc>
          <w:tcPr>
            <w:tcW w:type="dxa" w:w="6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Five-person team costs, institutional channel runway (6–12 month sales cycle), legal infrastructure</w:t>
            </w:r>
          </w:p>
        </w:tc>
      </w:tr>
      <w:tr>
        <w:tc>
          <w:tcPr>
            <w:tcW w:type="dxa" w:w="2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Target investors</w:t>
            </w:r>
          </w:p>
        </w:tc>
        <w:tc>
          <w:tcPr>
            <w:tcW w:type="dxa" w:w="6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3–5 family office investors or fintech-experienced angels. Quiet raise. Stealth compatible.</w:t>
            </w:r>
          </w:p>
        </w:tc>
      </w:tr>
      <w:tr>
        <w:tc>
          <w:tcPr>
            <w:tcW w:type="dxa" w:w="2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Valuation basis</w:t>
            </w:r>
          </w:p>
        </w:tc>
        <w:tc>
          <w:tcPr>
            <w:tcW w:type="dxa" w:w="6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US$6M–US$10M pre-money defensible with two-channel story and team credentials</w:t>
            </w:r>
          </w:p>
        </w:tc>
      </w:tr>
    </w:tbl>
    <w:p>
      <w:pPr>
        <w:spacing w:after="0" w:before="80"/>
      </w:pPr>
    </w:p>
    <w:p>
      <w:pPr>
        <w:pStyle w:val="Heading2"/>
        <w:spacing w:after="60" w:before="240"/>
      </w:pPr>
      <w:r>
        <w:rPr>
          <w:rFonts w:ascii="Arial" w:cs="Arial" w:eastAsia="Arial" w:hAnsi="Arial"/>
          <w:b/>
          <w:bCs/>
          <w:color w:val="E8E8EC"/>
          <w:sz w:val="21"/>
          <w:szCs w:val="21"/>
        </w:rPr>
        <w:t xml:space="preserve">Implementation Model — Locked</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Prime contractor model.</w:t>
      </w:r>
      <w:r>
        <w:rPr>
          <w:rFonts w:ascii="Arial" w:cs="Arial" w:eastAsia="Arial" w:hAnsi="Arial"/>
          <w:b w:val="false"/>
          <w:bCs w:val="false"/>
          <w:i w:val="false"/>
          <w:iCs w:val="false"/>
          <w:color w:val="E8E2D9"/>
          <w:sz w:val="20"/>
          <w:szCs w:val="20"/>
        </w:rPr>
        <w:t xml:space="preserve"> InvestPuppy owns every implementation. Client relationship and project accountability never transfer to a partner.</w:t>
      </w:r>
    </w:p>
    <w:p>
      <w:pPr>
        <w:pStyle w:val="ListParagraph"/>
        <w:numPr>
          <w:ilvl w:val="0"/>
          <w:numId w:val="2"/>
        </w:numPr>
        <w:spacing w:after="55" w:before="55" w:line="295" w:lineRule="auto"/>
      </w:pPr>
      <w:r>
        <w:rPr>
          <w:rFonts w:ascii="Arial" w:cs="Arial" w:eastAsia="Arial" w:hAnsi="Arial"/>
          <w:color w:val="E8E2D9"/>
          <w:sz w:val="20"/>
          <w:szCs w:val="20"/>
        </w:rPr>
        <w:t xml:space="preserve">Specific tasks may be subcontracted on fixed-price terms with defined deliverables and acceptance criteria.</w:t>
      </w:r>
    </w:p>
    <w:p>
      <w:pPr>
        <w:pStyle w:val="ListParagraph"/>
        <w:numPr>
          <w:ilvl w:val="0"/>
          <w:numId w:val="2"/>
        </w:numPr>
        <w:spacing w:after="55" w:before="55" w:line="295" w:lineRule="auto"/>
      </w:pPr>
      <w:r>
        <w:rPr>
          <w:rFonts w:ascii="Arial" w:cs="Arial" w:eastAsia="Arial" w:hAnsi="Arial"/>
          <w:color w:val="E8E2D9"/>
          <w:sz w:val="20"/>
          <w:szCs w:val="20"/>
        </w:rPr>
        <w:t xml:space="preserve">Directly aligned with Unvarnished series. See ip-implementation-methodology.docx.</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Managed service: PARKED.</w:t>
      </w:r>
      <w:r>
        <w:rPr>
          <w:rFonts w:ascii="Arial" w:cs="Arial" w:eastAsia="Arial" w:hAnsi="Arial"/>
          <w:b w:val="false"/>
          <w:bCs w:val="false"/>
          <w:i w:val="false"/>
          <w:iCs w:val="false"/>
          <w:color w:val="E8E2D9"/>
          <w:sz w:val="20"/>
          <w:szCs w:val="20"/>
        </w:rPr>
        <w:t xml:space="preserve"> Requires 3+ live clients, support function, MAS regulatory clearance. Do not pursue until then.</w:t>
      </w:r>
    </w:p>
    <w:p>
      <w:pPr>
        <w:pStyle w:val="Heading1"/>
        <w:pBdr>
          <w:bottom w:val="single" w:color="C8A96E" w:sz="3" w:space="4"/>
        </w:pBdr>
        <w:spacing w:after="80" w:before="360"/>
      </w:pPr>
      <w:r>
        <w:rPr>
          <w:rFonts w:ascii="Arial" w:cs="Arial" w:eastAsia="Arial" w:hAnsi="Arial"/>
          <w:b/>
          <w:bCs/>
          <w:caps/>
          <w:color w:val="C8A96E"/>
          <w:sz w:val="24"/>
          <w:szCs w:val="24"/>
        </w:rPr>
        <w:t xml:space="preserve">2 · Brand Decisions — Locked</w:t>
      </w:r>
    </w:p>
    <w:p>
      <w:pPr>
        <w:pStyle w:val="Heading2"/>
        <w:spacing w:after="60" w:before="240"/>
      </w:pPr>
      <w:r>
        <w:rPr>
          <w:rFonts w:ascii="Arial" w:cs="Arial" w:eastAsia="Arial" w:hAnsi="Arial"/>
          <w:b/>
          <w:bCs/>
          <w:color w:val="E8E8EC"/>
          <w:sz w:val="21"/>
          <w:szCs w:val="21"/>
        </w:rPr>
        <w:t xml:space="preserve">Brand Story Document</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Design system:</w:t>
      </w:r>
      <w:r>
        <w:rPr>
          <w:rFonts w:ascii="Arial" w:cs="Arial" w:eastAsia="Arial" w:hAnsi="Arial"/>
          <w:b w:val="false"/>
          <w:bCs w:val="false"/>
          <w:i w:val="false"/>
          <w:iCs w:val="false"/>
          <w:color w:val="E8E2D9"/>
          <w:sz w:val="20"/>
          <w:szCs w:val="20"/>
        </w:rPr>
        <w:t xml:space="preserve"> InvestPuppy GREEN (#85D155) — NOT Vektor gold. This is a company-origin document, not a product document.</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Opens with:</w:t>
      </w:r>
      <w:r>
        <w:rPr>
          <w:rFonts w:ascii="Arial" w:cs="Arial" w:eastAsia="Arial" w:hAnsi="Arial"/>
          <w:b w:val="false"/>
          <w:bCs w:val="false"/>
          <w:i w:val="false"/>
          <w:iCs w:val="false"/>
          <w:color w:val="E8E2D9"/>
          <w:sz w:val="20"/>
          <w:szCs w:val="20"/>
        </w:rPr>
        <w:t xml:space="preserve"> “The colour changed. That was deliberate.” — Do not change this line.</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Function:</w:t>
      </w:r>
      <w:r>
        <w:rPr>
          <w:rFonts w:ascii="Arial" w:cs="Arial" w:eastAsia="Arial" w:hAnsi="Arial"/>
          <w:b w:val="false"/>
          <w:bCs w:val="false"/>
          <w:i w:val="false"/>
          <w:iCs w:val="false"/>
          <w:color w:val="E8E2D9"/>
          <w:sz w:val="20"/>
          <w:szCs w:val="20"/>
        </w:rPr>
        <w:t xml:space="preserve"> Navigation hub between the two brand ecosystems.</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Closes with:</w:t>
      </w:r>
      <w:r>
        <w:rPr>
          <w:rFonts w:ascii="Arial" w:cs="Arial" w:eastAsia="Arial" w:hAnsi="Arial"/>
          <w:b w:val="false"/>
          <w:bCs w:val="false"/>
          <w:i w:val="false"/>
          <w:iCs w:val="false"/>
          <w:color w:val="E8E2D9"/>
          <w:sz w:val="20"/>
          <w:szCs w:val="20"/>
        </w:rPr>
        <w:t xml:space="preserve"> “Two routes from here.” — One paragraph to Unvarnished (for Vektor readers). One paragraph to Founding Mandate (for Unvarnished readers).</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Resolves:</w:t>
      </w:r>
      <w:r>
        <w:rPr>
          <w:rFonts w:ascii="Arial" w:cs="Arial" w:eastAsia="Arial" w:hAnsi="Arial"/>
          <w:b w:val="false"/>
          <w:bCs w:val="false"/>
          <w:i w:val="false"/>
          <w:iCs w:val="false"/>
          <w:color w:val="E8E2D9"/>
          <w:sz w:val="20"/>
          <w:szCs w:val="20"/>
        </w:rPr>
        <w:t xml:space="preserve"> PARKED P4 (bidirectional cross-referencing). The brand story is the hub. No per-document cross-references needed.</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Current status:</w:t>
      </w:r>
      <w:r>
        <w:rPr>
          <w:rFonts w:ascii="Arial" w:cs="Arial" w:eastAsia="Arial" w:hAnsi="Arial"/>
          <w:b w:val="false"/>
          <w:bCs w:val="false"/>
          <w:i w:val="false"/>
          <w:iCs w:val="false"/>
          <w:color w:val="E8E2D9"/>
          <w:sz w:val="20"/>
          <w:szCs w:val="20"/>
        </w:rPr>
        <w:t xml:space="preserve"> REBUILD REQUIRED. Existing ip-brand-story.docx uses Vektor gold. New opening and bridge closing not yet implemented.</w:t>
      </w:r>
    </w:p>
    <w:p>
      <w:pPr>
        <w:spacing w:after="0" w:before="80"/>
      </w:pPr>
    </w:p>
    <w:p>
      <w:pPr>
        <w:pStyle w:val="Heading2"/>
        <w:spacing w:after="60" w:before="240"/>
      </w:pPr>
      <w:r>
        <w:rPr>
          <w:rFonts w:ascii="Arial" w:cs="Arial" w:eastAsia="Arial" w:hAnsi="Arial"/>
          <w:b/>
          <w:bCs/>
          <w:color w:val="E8E8EC"/>
          <w:sz w:val="21"/>
          <w:szCs w:val="21"/>
        </w:rPr>
        <w:t xml:space="preserve">Three-Tier Document Classification — Locked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2600"/>
      </w:tblGrid>
      <w:tr>
        <w:trPr>
          <w:tblHeader/>
        </w:trPr>
        <w:tc>
          <w:tcPr>
            <w:tcW w:type="dxa" w:w="1600"/>
            <w:tcBorders>
              <w:top w:val="single" w:color="2A2A35" w:sz="1"/>
              <w:left w:val="single" w:color="2A2A35" w:sz="1"/>
              <w:bottom w:val="single" w:color="2A2A35" w:sz="1"/>
              <w:right w:val="single" w:color="2A2A35" w:sz="1"/>
            </w:tcBorders>
            <w:shd w:fill="C8A96E" w:val="clear"/>
            <w:tcMar>
              <w:top w:type="dxa" w:w="65"/>
              <w:left w:type="dxa" w:w="100"/>
              <w:bottom w:type="dxa" w:w="65"/>
              <w:right w:type="dxa" w:w="100"/>
            </w:tcMar>
          </w:tcPr>
          <w:p>
            <w:r>
              <w:rPr>
                <w:rFonts w:ascii="Arial" w:cs="Arial" w:eastAsia="Arial" w:hAnsi="Arial"/>
                <w:b/>
                <w:bCs/>
                <w:color w:val="FFFFFF"/>
                <w:sz w:val="16"/>
                <w:szCs w:val="16"/>
              </w:rPr>
              <w:t xml:space="preserve">Tier</w:t>
            </w:r>
          </w:p>
        </w:tc>
        <w:tc>
          <w:tcPr>
            <w:tcW w:type="dxa" w:w="2000"/>
            <w:tcBorders>
              <w:top w:val="single" w:color="2A2A35" w:sz="1"/>
              <w:left w:val="single" w:color="2A2A35" w:sz="1"/>
              <w:bottom w:val="single" w:color="2A2A35" w:sz="1"/>
              <w:right w:val="single" w:color="2A2A35" w:sz="1"/>
            </w:tcBorders>
            <w:shd w:fill="C8A96E" w:val="clear"/>
            <w:tcMar>
              <w:top w:type="dxa" w:w="65"/>
              <w:left w:type="dxa" w:w="100"/>
              <w:bottom w:type="dxa" w:w="65"/>
              <w:right w:type="dxa" w:w="100"/>
            </w:tcMar>
          </w:tcPr>
          <w:p>
            <w:r>
              <w:rPr>
                <w:rFonts w:ascii="Arial" w:cs="Arial" w:eastAsia="Arial" w:hAnsi="Arial"/>
                <w:b/>
                <w:bCs/>
                <w:color w:val="FFFFFF"/>
                <w:sz w:val="16"/>
                <w:szCs w:val="16"/>
              </w:rPr>
              <w:t xml:space="preserve">Access</w:t>
            </w:r>
          </w:p>
        </w:tc>
        <w:tc>
          <w:tcPr>
            <w:tcW w:type="dxa" w:w="2400"/>
            <w:tcBorders>
              <w:top w:val="single" w:color="2A2A35" w:sz="1"/>
              <w:left w:val="single" w:color="2A2A35" w:sz="1"/>
              <w:bottom w:val="single" w:color="2A2A35" w:sz="1"/>
              <w:right w:val="single" w:color="2A2A35" w:sz="1"/>
            </w:tcBorders>
            <w:shd w:fill="C8A96E" w:val="clear"/>
            <w:tcMar>
              <w:top w:type="dxa" w:w="65"/>
              <w:left w:type="dxa" w:w="100"/>
              <w:bottom w:type="dxa" w:w="65"/>
              <w:right w:type="dxa" w:w="100"/>
            </w:tcMar>
          </w:tcPr>
          <w:p>
            <w:r>
              <w:rPr>
                <w:rFonts w:ascii="Arial" w:cs="Arial" w:eastAsia="Arial" w:hAnsi="Arial"/>
                <w:b/>
                <w:bCs/>
                <w:color w:val="FFFFFF"/>
                <w:sz w:val="16"/>
                <w:szCs w:val="16"/>
              </w:rPr>
              <w:t xml:space="preserve">Deploy Target</w:t>
            </w:r>
          </w:p>
        </w:tc>
        <w:tc>
          <w:tcPr>
            <w:tcW w:type="dxa" w:w="2600"/>
            <w:tcBorders>
              <w:top w:val="single" w:color="2A2A35" w:sz="1"/>
              <w:left w:val="single" w:color="2A2A35" w:sz="1"/>
              <w:bottom w:val="single" w:color="2A2A35" w:sz="1"/>
              <w:right w:val="single" w:color="2A2A35" w:sz="1"/>
            </w:tcBorders>
            <w:shd w:fill="C8A96E" w:val="clear"/>
            <w:tcMar>
              <w:top w:type="dxa" w:w="65"/>
              <w:left w:type="dxa" w:w="100"/>
              <w:bottom w:type="dxa" w:w="65"/>
              <w:right w:type="dxa" w:w="100"/>
            </w:tcMar>
          </w:tcPr>
          <w:p>
            <w:r>
              <w:rPr>
                <w:rFonts w:ascii="Arial" w:cs="Arial" w:eastAsia="Arial" w:hAnsi="Arial"/>
                <w:b/>
                <w:bCs/>
                <w:color w:val="FFFFFF"/>
                <w:sz w:val="16"/>
                <w:szCs w:val="16"/>
              </w:rPr>
              <w:t xml:space="preserve">Example Documents</w:t>
            </w:r>
          </w:p>
        </w:tc>
      </w:tr>
      <w:tr>
        <w:tc>
          <w:tcPr>
            <w:tcW w:type="dxa" w:w="16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bCs/>
                <w:color w:val="E8E2D9"/>
                <w:sz w:val="16"/>
                <w:szCs w:val="16"/>
              </w:rPr>
              <w:t xml:space="preserve">Tier 1 — Public</w:t>
            </w:r>
          </w:p>
        </w:tc>
        <w:tc>
          <w:tcPr>
            <w:tcW w:type="dxa" w:w="20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No barrier</w:t>
            </w:r>
          </w:p>
        </w:tc>
        <w:tc>
          <w:tcPr>
            <w:tcW w:type="dxa" w:w="24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website/assets/docs/public/</w:t>
            </w:r>
          </w:p>
        </w:tc>
        <w:tc>
          <w:tcPr>
            <w:tcW w:type="dxa" w:w="26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Unvarnished, at-a-glance, brand story</w:t>
            </w:r>
          </w:p>
        </w:tc>
      </w:tr>
      <w:tr>
        <w:tc>
          <w:tcPr>
            <w:tcW w:type="dxa" w:w="16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bCs/>
                <w:color w:val="E8E2D9"/>
                <w:sz w:val="16"/>
                <w:szCs w:val="16"/>
              </w:rPr>
              <w:t xml:space="preserve">Tier 2 — Qualified</w:t>
            </w:r>
          </w:p>
        </w:tc>
        <w:tc>
          <w:tcPr>
            <w:tcW w:type="dxa" w:w="20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val="false"/>
                <w:bCs w:val="false"/>
                <w:color w:val="E8E2D9"/>
                <w:sz w:val="16"/>
                <w:szCs w:val="16"/>
              </w:rPr>
              <w:t xml:space="preserve">Registration form</w:t>
            </w:r>
          </w:p>
        </w:tc>
        <w:tc>
          <w:tcPr>
            <w:tcW w:type="dxa" w:w="24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val="false"/>
                <w:bCs w:val="false"/>
                <w:color w:val="E8E2D9"/>
                <w:sz w:val="16"/>
                <w:szCs w:val="16"/>
              </w:rPr>
              <w:t xml:space="preserve">website/assets/docs/qualified/</w:t>
            </w:r>
          </w:p>
        </w:tc>
        <w:tc>
          <w:tcPr>
            <w:tcW w:type="dxa" w:w="26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val="false"/>
                <w:bCs w:val="false"/>
                <w:color w:val="E8E2D9"/>
                <w:sz w:val="16"/>
                <w:szCs w:val="16"/>
              </w:rPr>
              <w:t xml:space="preserve">Research papers, Founding Mandate, EAM proposition</w:t>
            </w:r>
          </w:p>
        </w:tc>
      </w:tr>
      <w:tr>
        <w:tc>
          <w:tcPr>
            <w:tcW w:type="dxa" w:w="16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bCs/>
                <w:color w:val="E8E2D9"/>
                <w:sz w:val="16"/>
                <w:szCs w:val="16"/>
              </w:rPr>
              <w:t xml:space="preserve">Tier 3 — Confidential</w:t>
            </w:r>
          </w:p>
        </w:tc>
        <w:tc>
          <w:tcPr>
            <w:tcW w:type="dxa" w:w="20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NDA — direct distribution only</w:t>
            </w:r>
          </w:p>
        </w:tc>
        <w:tc>
          <w:tcPr>
            <w:tcW w:type="dxa" w:w="24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Never deployed to website</w:t>
            </w:r>
          </w:p>
        </w:tc>
        <w:tc>
          <w:tcPr>
            <w:tcW w:type="dxa" w:w="26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Founder story, regulatory matrices, investor pack</w:t>
            </w:r>
          </w:p>
        </w:tc>
      </w:tr>
      <w:tr>
        <w:tc>
          <w:tcPr>
            <w:tcW w:type="dxa" w:w="16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bCs/>
                <w:color w:val="E8E2D9"/>
                <w:sz w:val="16"/>
                <w:szCs w:val="16"/>
              </w:rPr>
              <w:t xml:space="preserve">Internal</w:t>
            </w:r>
          </w:p>
        </w:tc>
        <w:tc>
          <w:tcPr>
            <w:tcW w:type="dxa" w:w="20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val="false"/>
                <w:bCs w:val="false"/>
                <w:color w:val="E8E2D9"/>
                <w:sz w:val="16"/>
                <w:szCs w:val="16"/>
              </w:rPr>
              <w:t xml:space="preserve">Team only</w:t>
            </w:r>
          </w:p>
        </w:tc>
        <w:tc>
          <w:tcPr>
            <w:tcW w:type="dxa" w:w="24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val="false"/>
                <w:bCs w:val="false"/>
                <w:color w:val="E8E2D9"/>
                <w:sz w:val="16"/>
                <w:szCs w:val="16"/>
              </w:rPr>
              <w:t xml:space="preserve">Never distributed</w:t>
            </w:r>
          </w:p>
        </w:tc>
        <w:tc>
          <w:tcPr>
            <w:tcW w:type="dxa" w:w="26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val="false"/>
                <w:bCs w:val="false"/>
                <w:color w:val="E8E2D9"/>
                <w:sz w:val="16"/>
                <w:szCs w:val="16"/>
              </w:rPr>
              <w:t xml:space="preserve">Briefing paper, OUTSTANDING.md, this document</w:t>
            </w:r>
          </w:p>
        </w:tc>
      </w:tr>
    </w:tbl>
    <w:p>
      <w:pPr>
        <w:spacing w:after="0" w:before="80"/>
      </w:pPr>
    </w:p>
    <w:p>
      <w:pPr>
        <w:spacing w:after="50" w:before="50" w:line="315" w:lineRule="auto"/>
      </w:pPr>
      <w:r>
        <w:rPr>
          <w:rFonts w:ascii="Arial" w:cs="Arial" w:eastAsia="Arial" w:hAnsi="Arial"/>
          <w:b w:val="false"/>
          <w:bCs w:val="false"/>
          <w:i w:val="false"/>
          <w:iCs w:val="false"/>
          <w:color w:val="E8E2D9"/>
          <w:sz w:val="20"/>
          <w:szCs w:val="20"/>
        </w:rPr>
        <w:t xml:space="preserve">The mutual NDA lives in distribution/nda-template/ and is sent on direct email request within 24 hours. It is not on the website in any form.</w:t>
      </w:r>
    </w:p>
    <w:p>
      <w:pPr>
        <w:pStyle w:val="Heading1"/>
        <w:pBdr>
          <w:bottom w:val="single" w:color="C8A96E" w:sz="3" w:space="4"/>
        </w:pBdr>
        <w:spacing w:after="80" w:before="360"/>
      </w:pPr>
      <w:r>
        <w:rPr>
          <w:rFonts w:ascii="Arial" w:cs="Arial" w:eastAsia="Arial" w:hAnsi="Arial"/>
          <w:b/>
          <w:bCs/>
          <w:caps/>
          <w:color w:val="C8A96E"/>
          <w:sz w:val="24"/>
          <w:szCs w:val="24"/>
        </w:rPr>
        <w:t xml:space="preserve">3 · New Documents Created</w:t>
      </w:r>
    </w:p>
    <w:p>
      <w:pPr>
        <w:spacing w:after="50" w:before="50" w:line="315" w:lineRule="auto"/>
      </w:pPr>
      <w:r>
        <w:rPr>
          <w:rFonts w:ascii="Arial" w:cs="Arial" w:eastAsia="Arial" w:hAnsi="Arial"/>
          <w:b w:val="false"/>
          <w:bCs w:val="false"/>
          <w:i w:val="false"/>
          <w:iCs w:val="false"/>
          <w:color w:val="E8E2D9"/>
          <w:sz w:val="20"/>
          <w:szCs w:val="20"/>
        </w:rPr>
        <w:t xml:space="preserve">All in outputs folder. All require sub-brand naming update (Vektor : Boutique / Vektor : Institutional) before final distribution.</w:t>
      </w:r>
    </w:p>
    <w:p>
      <w:pPr>
        <w:spacing w:after="0" w:before="6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2400"/>
      </w:tblGrid>
      <w:tr>
        <w:trPr>
          <w:tblHeader/>
        </w:trPr>
        <w:tc>
          <w:tcPr>
            <w:tcW w:type="dxa" w:w="4200"/>
            <w:tcBorders>
              <w:top w:val="single" w:color="2A2A35" w:sz="1"/>
              <w:left w:val="single" w:color="2A2A35" w:sz="1"/>
              <w:bottom w:val="single" w:color="2A2A35" w:sz="1"/>
              <w:right w:val="single" w:color="2A2A35" w:sz="1"/>
            </w:tcBorders>
            <w:shd w:fill="C8A96E" w:val="clear"/>
            <w:tcMar>
              <w:top w:type="dxa" w:w="65"/>
              <w:left w:type="dxa" w:w="100"/>
              <w:bottom w:type="dxa" w:w="65"/>
              <w:right w:type="dxa" w:w="100"/>
            </w:tcMar>
          </w:tcPr>
          <w:p>
            <w:r>
              <w:rPr>
                <w:rFonts w:ascii="Arial" w:cs="Arial" w:eastAsia="Arial" w:hAnsi="Arial"/>
                <w:b/>
                <w:bCs/>
                <w:color w:val="FFFFFF"/>
                <w:sz w:val="16"/>
                <w:szCs w:val="16"/>
              </w:rPr>
              <w:t xml:space="preserve">Document</w:t>
            </w:r>
          </w:p>
        </w:tc>
        <w:tc>
          <w:tcPr>
            <w:tcW w:type="dxa" w:w="2000"/>
            <w:tcBorders>
              <w:top w:val="single" w:color="2A2A35" w:sz="1"/>
              <w:left w:val="single" w:color="2A2A35" w:sz="1"/>
              <w:bottom w:val="single" w:color="2A2A35" w:sz="1"/>
              <w:right w:val="single" w:color="2A2A35" w:sz="1"/>
            </w:tcBorders>
            <w:shd w:fill="C8A96E" w:val="clear"/>
            <w:tcMar>
              <w:top w:type="dxa" w:w="65"/>
              <w:left w:type="dxa" w:w="100"/>
              <w:bottom w:type="dxa" w:w="65"/>
              <w:right w:type="dxa" w:w="100"/>
            </w:tcMar>
          </w:tcPr>
          <w:p>
            <w:r>
              <w:rPr>
                <w:rFonts w:ascii="Arial" w:cs="Arial" w:eastAsia="Arial" w:hAnsi="Arial"/>
                <w:b/>
                <w:bCs/>
                <w:color w:val="FFFFFF"/>
                <w:sz w:val="16"/>
                <w:szCs w:val="16"/>
              </w:rPr>
              <w:t xml:space="preserve">Tier</w:t>
            </w:r>
          </w:p>
        </w:tc>
        <w:tc>
          <w:tcPr>
            <w:tcW w:type="dxa" w:w="2400"/>
            <w:tcBorders>
              <w:top w:val="single" w:color="2A2A35" w:sz="1"/>
              <w:left w:val="single" w:color="2A2A35" w:sz="1"/>
              <w:bottom w:val="single" w:color="2A2A35" w:sz="1"/>
              <w:right w:val="single" w:color="2A2A35" w:sz="1"/>
            </w:tcBorders>
            <w:shd w:fill="C8A96E" w:val="clear"/>
            <w:tcMar>
              <w:top w:type="dxa" w:w="65"/>
              <w:left w:type="dxa" w:w="100"/>
              <w:bottom w:type="dxa" w:w="65"/>
              <w:right w:type="dxa" w:w="100"/>
            </w:tcMar>
          </w:tcPr>
          <w:p>
            <w:r>
              <w:rPr>
                <w:rFonts w:ascii="Arial" w:cs="Arial" w:eastAsia="Arial" w:hAnsi="Arial"/>
                <w:b/>
                <w:bCs/>
                <w:color w:val="FFFFFF"/>
                <w:sz w:val="16"/>
                <w:szCs w:val="16"/>
              </w:rPr>
              <w:t xml:space="preserve">Status</w:t>
            </w:r>
          </w:p>
        </w:tc>
      </w:tr>
      <w:tr>
        <w:tc>
          <w:tcPr>
            <w:tcW w:type="dxa" w:w="42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bCs/>
                <w:color w:val="E8E2D9"/>
                <w:sz w:val="16"/>
                <w:szCs w:val="16"/>
              </w:rPr>
              <w:t xml:space="preserve">ip-brand-story.docx</w:t>
            </w:r>
          </w:p>
        </w:tc>
        <w:tc>
          <w:tcPr>
            <w:tcW w:type="dxa" w:w="20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1 — Public</w:t>
            </w:r>
          </w:p>
        </w:tc>
        <w:tc>
          <w:tcPr>
            <w:tcW w:type="dxa" w:w="1400"/>
            <w:tcBorders>
              <w:top w:val="single" w:color="2A2A35" w:sz="1"/>
              <w:left w:val="single" w:color="2A2A35" w:sz="1"/>
              <w:bottom w:val="single" w:color="2A2A35" w:sz="1"/>
              <w:right w:val="single" w:color="2A2A35"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REBUILD REQUIRED</w:t>
            </w:r>
          </w:p>
        </w:tc>
      </w:tr>
      <w:tr>
        <w:tc>
          <w:tcPr>
            <w:tcW w:type="dxa" w:w="42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bCs/>
                <w:color w:val="E8E2D9"/>
                <w:sz w:val="16"/>
                <w:szCs w:val="16"/>
              </w:rPr>
              <w:t xml:space="preserve">ip-founder-story.docx</w:t>
            </w:r>
          </w:p>
        </w:tc>
        <w:tc>
          <w:tcPr>
            <w:tcW w:type="dxa" w:w="20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val="false"/>
                <w:bCs w:val="false"/>
                <w:color w:val="E8E2D9"/>
                <w:sz w:val="16"/>
                <w:szCs w:val="16"/>
              </w:rPr>
              <w:t xml:space="preserve">3 — Confidential</w:t>
            </w:r>
          </w:p>
        </w:tc>
        <w:tc>
          <w:tcPr>
            <w:tcW w:type="dxa" w:w="1400"/>
            <w:tcBorders>
              <w:top w:val="single" w:color="2A2A35" w:sz="1"/>
              <w:left w:val="single" w:color="2A2A35" w:sz="1"/>
              <w:bottom w:val="single" w:color="2A2A35" w:sz="1"/>
              <w:right w:val="single" w:color="2A2A35"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PLACEHOLDERS PENDING</w:t>
            </w:r>
          </w:p>
        </w:tc>
      </w:tr>
      <w:tr>
        <w:tc>
          <w:tcPr>
            <w:tcW w:type="dxa" w:w="42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bCs/>
                <w:color w:val="E8E2D9"/>
                <w:sz w:val="16"/>
                <w:szCs w:val="16"/>
              </w:rPr>
              <w:t xml:space="preserve">ip-openwealth-integration-brief.docx</w:t>
            </w:r>
          </w:p>
        </w:tc>
        <w:tc>
          <w:tcPr>
            <w:tcW w:type="dxa" w:w="20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2 — Qualified</w:t>
            </w:r>
          </w:p>
        </w:tc>
        <w:tc>
          <w:tcPr>
            <w:tcW w:type="dxa" w:w="1400"/>
            <w:tcBorders>
              <w:top w:val="single" w:color="2A2A35" w:sz="1"/>
              <w:left w:val="single" w:color="2A2A35" w:sz="1"/>
              <w:bottom w:val="single" w:color="2A2A35" w:sz="1"/>
              <w:right w:val="single" w:color="2A2A35"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READY FOR REVIEW</w:t>
            </w:r>
          </w:p>
        </w:tc>
      </w:tr>
      <w:tr>
        <w:tc>
          <w:tcPr>
            <w:tcW w:type="dxa" w:w="42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bCs/>
                <w:color w:val="E8E2D9"/>
                <w:sz w:val="16"/>
                <w:szCs w:val="16"/>
              </w:rPr>
              <w:t xml:space="preserve">ip-eam-proposition.docx</w:t>
            </w:r>
          </w:p>
        </w:tc>
        <w:tc>
          <w:tcPr>
            <w:tcW w:type="dxa" w:w="20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val="false"/>
                <w:bCs w:val="false"/>
                <w:color w:val="E8E2D9"/>
                <w:sz w:val="16"/>
                <w:szCs w:val="16"/>
              </w:rPr>
              <w:t xml:space="preserve">2 — Qualified</w:t>
            </w:r>
          </w:p>
        </w:tc>
        <w:tc>
          <w:tcPr>
            <w:tcW w:type="dxa" w:w="1400"/>
            <w:tcBorders>
              <w:top w:val="single" w:color="2A2A35" w:sz="1"/>
              <w:left w:val="single" w:color="2A2A35" w:sz="1"/>
              <w:bottom w:val="single" w:color="2A2A35" w:sz="1"/>
              <w:right w:val="single" w:color="2A2A35"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READY FOR REVIEW</w:t>
            </w:r>
          </w:p>
        </w:tc>
      </w:tr>
      <w:tr>
        <w:tc>
          <w:tcPr>
            <w:tcW w:type="dxa" w:w="42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bCs/>
                <w:color w:val="E8E2D9"/>
                <w:sz w:val="16"/>
                <w:szCs w:val="16"/>
              </w:rPr>
              <w:t xml:space="preserve">ip-custodian-bank-brief.docx</w:t>
            </w:r>
          </w:p>
        </w:tc>
        <w:tc>
          <w:tcPr>
            <w:tcW w:type="dxa" w:w="20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3 — Confidential</w:t>
            </w:r>
          </w:p>
        </w:tc>
        <w:tc>
          <w:tcPr>
            <w:tcW w:type="dxa" w:w="1400"/>
            <w:tcBorders>
              <w:top w:val="single" w:color="2A2A35" w:sz="1"/>
              <w:left w:val="single" w:color="2A2A35" w:sz="1"/>
              <w:bottom w:val="single" w:color="2A2A35" w:sz="1"/>
              <w:right w:val="single" w:color="2A2A35"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READY FOR REVIEW</w:t>
            </w:r>
          </w:p>
        </w:tc>
      </w:tr>
      <w:tr>
        <w:tc>
          <w:tcPr>
            <w:tcW w:type="dxa" w:w="42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bCs/>
                <w:color w:val="E8E2D9"/>
                <w:sz w:val="16"/>
                <w:szCs w:val="16"/>
              </w:rPr>
              <w:t xml:space="preserve">ip-implementation-methodology.docx</w:t>
            </w:r>
          </w:p>
        </w:tc>
        <w:tc>
          <w:tcPr>
            <w:tcW w:type="dxa" w:w="20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val="false"/>
                <w:bCs w:val="false"/>
                <w:color w:val="E8E2D9"/>
                <w:sz w:val="16"/>
                <w:szCs w:val="16"/>
              </w:rPr>
              <w:t xml:space="preserve">3 — Confidential</w:t>
            </w:r>
          </w:p>
        </w:tc>
        <w:tc>
          <w:tcPr>
            <w:tcW w:type="dxa" w:w="1400"/>
            <w:tcBorders>
              <w:top w:val="single" w:color="2A2A35" w:sz="1"/>
              <w:left w:val="single" w:color="2A2A35" w:sz="1"/>
              <w:bottom w:val="single" w:color="2A2A35" w:sz="1"/>
              <w:right w:val="single" w:color="2A2A35"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UAT TEMPLATE NEEDED</w:t>
            </w:r>
          </w:p>
        </w:tc>
      </w:tr>
      <w:tr>
        <w:tc>
          <w:tcPr>
            <w:tcW w:type="dxa" w:w="42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bCs/>
                <w:color w:val="E8E2D9"/>
                <w:sz w:val="16"/>
                <w:szCs w:val="16"/>
              </w:rPr>
              <w:t xml:space="preserve">ip-regulatory-matrix-sg.docx</w:t>
            </w:r>
          </w:p>
        </w:tc>
        <w:tc>
          <w:tcPr>
            <w:tcW w:type="dxa" w:w="20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3 — Confidential</w:t>
            </w:r>
          </w:p>
        </w:tc>
        <w:tc>
          <w:tcPr>
            <w:tcW w:type="dxa" w:w="1400"/>
            <w:tcBorders>
              <w:top w:val="single" w:color="2A2A35" w:sz="1"/>
              <w:left w:val="single" w:color="2A2A35" w:sz="1"/>
              <w:bottom w:val="single" w:color="2A2A35" w:sz="1"/>
              <w:right w:val="single" w:color="2A2A35"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DRAFT — SG COUNSEL</w:t>
            </w:r>
          </w:p>
        </w:tc>
      </w:tr>
      <w:tr>
        <w:tc>
          <w:tcPr>
            <w:tcW w:type="dxa" w:w="42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bCs/>
                <w:color w:val="E8E2D9"/>
                <w:sz w:val="16"/>
                <w:szCs w:val="16"/>
              </w:rPr>
              <w:t xml:space="preserve">ip-regulatory-matrix-ch.docx</w:t>
            </w:r>
          </w:p>
        </w:tc>
        <w:tc>
          <w:tcPr>
            <w:tcW w:type="dxa" w:w="20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val="false"/>
                <w:bCs w:val="false"/>
                <w:color w:val="E8E2D9"/>
                <w:sz w:val="16"/>
                <w:szCs w:val="16"/>
              </w:rPr>
              <w:t xml:space="preserve">3 — Confidential</w:t>
            </w:r>
          </w:p>
        </w:tc>
        <w:tc>
          <w:tcPr>
            <w:tcW w:type="dxa" w:w="1400"/>
            <w:tcBorders>
              <w:top w:val="single" w:color="2A2A35" w:sz="1"/>
              <w:left w:val="single" w:color="2A2A35" w:sz="1"/>
              <w:bottom w:val="single" w:color="2A2A35" w:sz="1"/>
              <w:right w:val="single" w:color="2A2A35"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DRAFT — CH COUNSEL</w:t>
            </w:r>
          </w:p>
        </w:tc>
      </w:tr>
      <w:tr>
        <w:tc>
          <w:tcPr>
            <w:tcW w:type="dxa" w:w="42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bCs/>
                <w:color w:val="E8E2D9"/>
                <w:sz w:val="16"/>
                <w:szCs w:val="16"/>
              </w:rPr>
              <w:t xml:space="preserve">ip-strategic-briefing-may2026.docx</w:t>
            </w:r>
          </w:p>
        </w:tc>
        <w:tc>
          <w:tcPr>
            <w:tcW w:type="dxa" w:w="20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Internal</w:t>
            </w:r>
          </w:p>
        </w:tc>
        <w:tc>
          <w:tcPr>
            <w:tcW w:type="dxa" w:w="1400"/>
            <w:tcBorders>
              <w:top w:val="single" w:color="2A2A35" w:sz="1"/>
              <w:left w:val="single" w:color="2A2A35" w:sz="1"/>
              <w:bottom w:val="single" w:color="2A2A35" w:sz="1"/>
              <w:right w:val="single" w:color="2A2A35" w:sz="1"/>
            </w:tcBorders>
            <w:shd w:fill="E8F5E9" w:val="clear"/>
            <w:tcMar>
              <w:top w:type="dxa" w:w="55"/>
              <w:left w:type="dxa" w:w="90"/>
              <w:bottom w:type="dxa" w:w="55"/>
              <w:right w:type="dxa" w:w="90"/>
            </w:tcMar>
          </w:tcPr>
          <w:p>
            <w:r>
              <w:rPr>
                <w:rFonts w:ascii="Arial" w:cs="Arial" w:eastAsia="Arial" w:hAnsi="Arial"/>
                <w:b/>
                <w:bCs/>
                <w:color w:val="2E7D32"/>
                <w:sz w:val="16"/>
                <w:szCs w:val="16"/>
              </w:rPr>
              <w:t xml:space="preserve">COMPLETE</w:t>
            </w:r>
          </w:p>
        </w:tc>
      </w:tr>
      <w:tr>
        <w:tc>
          <w:tcPr>
            <w:tcW w:type="dxa" w:w="42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bCs/>
                <w:color w:val="E8E2D9"/>
                <w:sz w:val="16"/>
                <w:szCs w:val="16"/>
              </w:rPr>
              <w:t xml:space="preserve">ip-website-changes-required.docx</w:t>
            </w:r>
          </w:p>
        </w:tc>
        <w:tc>
          <w:tcPr>
            <w:tcW w:type="dxa" w:w="20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val="false"/>
                <w:bCs w:val="false"/>
                <w:color w:val="E8E2D9"/>
                <w:sz w:val="16"/>
                <w:szCs w:val="16"/>
              </w:rPr>
              <w:t xml:space="preserve">Internal</w:t>
            </w:r>
          </w:p>
        </w:tc>
        <w:tc>
          <w:tcPr>
            <w:tcW w:type="dxa" w:w="1400"/>
            <w:tcBorders>
              <w:top w:val="single" w:color="2A2A35" w:sz="1"/>
              <w:left w:val="single" w:color="2A2A35" w:sz="1"/>
              <w:bottom w:val="single" w:color="2A2A35" w:sz="1"/>
              <w:right w:val="single" w:color="2A2A35" w:sz="1"/>
            </w:tcBorders>
            <w:shd w:fill="E8F5E9" w:val="clear"/>
            <w:tcMar>
              <w:top w:type="dxa" w:w="55"/>
              <w:left w:type="dxa" w:w="90"/>
              <w:bottom w:type="dxa" w:w="55"/>
              <w:right w:type="dxa" w:w="90"/>
            </w:tcMar>
          </w:tcPr>
          <w:p>
            <w:r>
              <w:rPr>
                <w:rFonts w:ascii="Arial" w:cs="Arial" w:eastAsia="Arial" w:hAnsi="Arial"/>
                <w:b/>
                <w:bCs/>
                <w:color w:val="2E7D32"/>
                <w:sz w:val="16"/>
                <w:szCs w:val="16"/>
              </w:rPr>
              <w:t xml:space="preserve">COMPLETE</w:t>
            </w:r>
          </w:p>
        </w:tc>
      </w:tr>
      <w:tr>
        <w:tc>
          <w:tcPr>
            <w:tcW w:type="dxa" w:w="42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bCs/>
                <w:color w:val="E8E2D9"/>
                <w:sz w:val="16"/>
                <w:szCs w:val="16"/>
              </w:rPr>
              <w:t xml:space="preserve">ip-repository-structure.docx</w:t>
            </w:r>
          </w:p>
        </w:tc>
        <w:tc>
          <w:tcPr>
            <w:tcW w:type="dxa" w:w="20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Internal</w:t>
            </w:r>
          </w:p>
        </w:tc>
        <w:tc>
          <w:tcPr>
            <w:tcW w:type="dxa" w:w="1400"/>
            <w:tcBorders>
              <w:top w:val="single" w:color="2A2A35" w:sz="1"/>
              <w:left w:val="single" w:color="2A2A35" w:sz="1"/>
              <w:bottom w:val="single" w:color="2A2A35" w:sz="1"/>
              <w:right w:val="single" w:color="2A2A35" w:sz="1"/>
            </w:tcBorders>
            <w:shd w:fill="E8F5E9" w:val="clear"/>
            <w:tcMar>
              <w:top w:type="dxa" w:w="55"/>
              <w:left w:type="dxa" w:w="90"/>
              <w:bottom w:type="dxa" w:w="55"/>
              <w:right w:type="dxa" w:w="90"/>
            </w:tcMar>
          </w:tcPr>
          <w:p>
            <w:r>
              <w:rPr>
                <w:rFonts w:ascii="Arial" w:cs="Arial" w:eastAsia="Arial" w:hAnsi="Arial"/>
                <w:b/>
                <w:bCs/>
                <w:color w:val="2E7D32"/>
                <w:sz w:val="16"/>
                <w:szCs w:val="16"/>
              </w:rPr>
              <w:t xml:space="preserve">COMPLETE</w:t>
            </w:r>
          </w:p>
        </w:tc>
      </w:tr>
    </w:tbl>
    <w:p>
      <w:pPr>
        <w:pStyle w:val="Heading1"/>
        <w:pBdr>
          <w:bottom w:val="single" w:color="C8A96E" w:sz="3" w:space="4"/>
        </w:pBdr>
        <w:spacing w:after="80" w:before="360"/>
      </w:pPr>
      <w:r>
        <w:rPr>
          <w:rFonts w:ascii="Arial" w:cs="Arial" w:eastAsia="Arial" w:hAnsi="Arial"/>
          <w:b/>
          <w:bCs/>
          <w:caps/>
          <w:color w:val="C8A96E"/>
          <w:sz w:val="24"/>
          <w:szCs w:val="24"/>
        </w:rPr>
        <w:t xml:space="preserve">4 · Existing Documents Modified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200"/>
      </w:tblGrid>
      <w:tr>
        <w:trPr>
          <w:tblHeader/>
        </w:trPr>
        <w:tc>
          <w:tcPr>
            <w:tcW w:type="dxa" w:w="3400"/>
            <w:tcBorders>
              <w:top w:val="single" w:color="2A2A35" w:sz="1"/>
              <w:left w:val="single" w:color="2A2A35" w:sz="1"/>
              <w:bottom w:val="single" w:color="2A2A35" w:sz="1"/>
              <w:right w:val="single" w:color="2A2A35" w:sz="1"/>
            </w:tcBorders>
            <w:shd w:fill="C8A96E" w:val="clear"/>
            <w:tcMar>
              <w:top w:type="dxa" w:w="65"/>
              <w:left w:type="dxa" w:w="100"/>
              <w:bottom w:type="dxa" w:w="65"/>
              <w:right w:type="dxa" w:w="100"/>
            </w:tcMar>
          </w:tcPr>
          <w:p>
            <w:r>
              <w:rPr>
                <w:rFonts w:ascii="Arial" w:cs="Arial" w:eastAsia="Arial" w:hAnsi="Arial"/>
                <w:b/>
                <w:bCs/>
                <w:color w:val="FFFFFF"/>
                <w:sz w:val="16"/>
                <w:szCs w:val="16"/>
              </w:rPr>
              <w:t xml:space="preserve">Document</w:t>
            </w:r>
          </w:p>
        </w:tc>
        <w:tc>
          <w:tcPr>
            <w:tcW w:type="dxa" w:w="3000"/>
            <w:tcBorders>
              <w:top w:val="single" w:color="2A2A35" w:sz="1"/>
              <w:left w:val="single" w:color="2A2A35" w:sz="1"/>
              <w:bottom w:val="single" w:color="2A2A35" w:sz="1"/>
              <w:right w:val="single" w:color="2A2A35" w:sz="1"/>
            </w:tcBorders>
            <w:shd w:fill="C8A96E" w:val="clear"/>
            <w:tcMar>
              <w:top w:type="dxa" w:w="65"/>
              <w:left w:type="dxa" w:w="100"/>
              <w:bottom w:type="dxa" w:w="65"/>
              <w:right w:type="dxa" w:w="100"/>
            </w:tcMar>
          </w:tcPr>
          <w:p>
            <w:r>
              <w:rPr>
                <w:rFonts w:ascii="Arial" w:cs="Arial" w:eastAsia="Arial" w:hAnsi="Arial"/>
                <w:b/>
                <w:bCs/>
                <w:color w:val="FFFFFF"/>
                <w:sz w:val="16"/>
                <w:szCs w:val="16"/>
              </w:rPr>
              <w:t xml:space="preserve">Change</w:t>
            </w:r>
          </w:p>
        </w:tc>
        <w:tc>
          <w:tcPr>
            <w:tcW w:type="dxa" w:w="2200"/>
            <w:tcBorders>
              <w:top w:val="single" w:color="2A2A35" w:sz="1"/>
              <w:left w:val="single" w:color="2A2A35" w:sz="1"/>
              <w:bottom w:val="single" w:color="2A2A35" w:sz="1"/>
              <w:right w:val="single" w:color="2A2A35" w:sz="1"/>
            </w:tcBorders>
            <w:shd w:fill="C8A96E" w:val="clear"/>
            <w:tcMar>
              <w:top w:type="dxa" w:w="65"/>
              <w:left w:type="dxa" w:w="100"/>
              <w:bottom w:type="dxa" w:w="65"/>
              <w:right w:type="dxa" w:w="100"/>
            </w:tcMar>
          </w:tcPr>
          <w:p>
            <w:r>
              <w:rPr>
                <w:rFonts w:ascii="Arial" w:cs="Arial" w:eastAsia="Arial" w:hAnsi="Arial"/>
                <w:b/>
                <w:bCs/>
                <w:color w:val="FFFFFF"/>
                <w:sz w:val="16"/>
                <w:szCs w:val="16"/>
              </w:rPr>
              <w:t xml:space="preserve">Status</w:t>
            </w:r>
          </w:p>
        </w:tc>
      </w:tr>
      <w:tr>
        <w:tc>
          <w:tcPr>
            <w:tcW w:type="dxa" w:w="34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bCs/>
                <w:color w:val="E8E2D9"/>
                <w:sz w:val="16"/>
                <w:szCs w:val="16"/>
              </w:rPr>
              <w:t xml:space="preserve">vk5-founding-mandate-programme.pdf</w:t>
            </w:r>
          </w:p>
        </w:tc>
        <w:tc>
          <w:tcPr>
            <w:tcW w:type="dxa" w:w="30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Forbidden terminology removed throughout</w:t>
            </w:r>
          </w:p>
        </w:tc>
        <w:tc>
          <w:tcPr>
            <w:tcW w:type="dxa" w:w="1400"/>
            <w:tcBorders>
              <w:top w:val="single" w:color="2A2A35" w:sz="1"/>
              <w:left w:val="single" w:color="2A2A35" w:sz="1"/>
              <w:bottom w:val="single" w:color="2A2A35" w:sz="1"/>
              <w:right w:val="single" w:color="2A2A35" w:sz="1"/>
            </w:tcBorders>
            <w:shd w:fill="E8F5E9" w:val="clear"/>
            <w:tcMar>
              <w:top w:type="dxa" w:w="55"/>
              <w:left w:type="dxa" w:w="90"/>
              <w:bottom w:type="dxa" w:w="55"/>
              <w:right w:type="dxa" w:w="90"/>
            </w:tcMar>
          </w:tcPr>
          <w:p>
            <w:r>
              <w:rPr>
                <w:rFonts w:ascii="Arial" w:cs="Arial" w:eastAsia="Arial" w:hAnsi="Arial"/>
                <w:b/>
                <w:bCs/>
                <w:color w:val="2E7D32"/>
                <w:sz w:val="16"/>
                <w:szCs w:val="16"/>
              </w:rPr>
              <w:t xml:space="preserve">COMPLETE</w:t>
            </w:r>
          </w:p>
        </w:tc>
      </w:tr>
      <w:tr>
        <w:tc>
          <w:tcPr>
            <w:tcW w:type="dxa" w:w="34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bCs/>
                <w:color w:val="E8E2D9"/>
                <w:sz w:val="16"/>
                <w:szCs w:val="16"/>
              </w:rPr>
              <w:t xml:space="preserve">vk5-dd-navigation-guide.pdf</w:t>
            </w:r>
          </w:p>
        </w:tc>
        <w:tc>
          <w:tcPr>
            <w:tcW w:type="dxa" w:w="30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val="false"/>
                <w:bCs w:val="false"/>
                <w:color w:val="E8E2D9"/>
                <w:sz w:val="16"/>
                <w:szCs w:val="16"/>
              </w:rPr>
              <w:t xml:space="preserve">Brand story corrected; institutional section added; NDA updated</w:t>
            </w:r>
          </w:p>
        </w:tc>
        <w:tc>
          <w:tcPr>
            <w:tcW w:type="dxa" w:w="1400"/>
            <w:tcBorders>
              <w:top w:val="single" w:color="2A2A35" w:sz="1"/>
              <w:left w:val="single" w:color="2A2A35" w:sz="1"/>
              <w:bottom w:val="single" w:color="2A2A35" w:sz="1"/>
              <w:right w:val="single" w:color="2A2A35" w:sz="1"/>
            </w:tcBorders>
            <w:shd w:fill="E8F5E9" w:val="clear"/>
            <w:tcMar>
              <w:top w:type="dxa" w:w="55"/>
              <w:left w:type="dxa" w:w="90"/>
              <w:bottom w:type="dxa" w:w="55"/>
              <w:right w:type="dxa" w:w="90"/>
            </w:tcMar>
          </w:tcPr>
          <w:p>
            <w:r>
              <w:rPr>
                <w:rFonts w:ascii="Arial" w:cs="Arial" w:eastAsia="Arial" w:hAnsi="Arial"/>
                <w:b/>
                <w:bCs/>
                <w:color w:val="2E7D32"/>
                <w:sz w:val="16"/>
                <w:szCs w:val="16"/>
              </w:rPr>
              <w:t xml:space="preserve">COMPLETE</w:t>
            </w:r>
          </w:p>
        </w:tc>
      </w:tr>
      <w:tr>
        <w:tc>
          <w:tcPr>
            <w:tcW w:type="dxa" w:w="34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bCs/>
                <w:color w:val="E8E2D9"/>
                <w:sz w:val="16"/>
                <w:szCs w:val="16"/>
              </w:rPr>
              <w:t xml:space="preserve">vk5-wp01.pdf</w:t>
            </w:r>
          </w:p>
        </w:tc>
        <w:tc>
          <w:tcPr>
            <w:tcW w:type="dxa" w:w="30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Multi-market caveat added to abstract</w:t>
            </w:r>
          </w:p>
        </w:tc>
        <w:tc>
          <w:tcPr>
            <w:tcW w:type="dxa" w:w="1400"/>
            <w:tcBorders>
              <w:top w:val="single" w:color="2A2A35" w:sz="1"/>
              <w:left w:val="single" w:color="2A2A35" w:sz="1"/>
              <w:bottom w:val="single" w:color="2A2A35" w:sz="1"/>
              <w:right w:val="single" w:color="2A2A35" w:sz="1"/>
            </w:tcBorders>
            <w:shd w:fill="E8F5E9" w:val="clear"/>
            <w:tcMar>
              <w:top w:type="dxa" w:w="55"/>
              <w:left w:type="dxa" w:w="90"/>
              <w:bottom w:type="dxa" w:w="55"/>
              <w:right w:type="dxa" w:w="90"/>
            </w:tcMar>
          </w:tcPr>
          <w:p>
            <w:r>
              <w:rPr>
                <w:rFonts w:ascii="Arial" w:cs="Arial" w:eastAsia="Arial" w:hAnsi="Arial"/>
                <w:b/>
                <w:bCs/>
                <w:color w:val="2E7D32"/>
                <w:sz w:val="16"/>
                <w:szCs w:val="16"/>
              </w:rPr>
              <w:t xml:space="preserve">COMPLETE</w:t>
            </w:r>
          </w:p>
        </w:tc>
      </w:tr>
      <w:tr>
        <w:tc>
          <w:tcPr>
            <w:tcW w:type="dxa" w:w="34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bCs/>
                <w:color w:val="E8E2D9"/>
                <w:sz w:val="16"/>
                <w:szCs w:val="16"/>
              </w:rPr>
              <w:t xml:space="preserve">vk5-wp07.pdf</w:t>
            </w:r>
          </w:p>
        </w:tc>
        <w:tc>
          <w:tcPr>
            <w:tcW w:type="dxa" w:w="30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val="false"/>
                <w:bCs w:val="false"/>
                <w:color w:val="E8E2D9"/>
                <w:sz w:val="16"/>
                <w:szCs w:val="16"/>
              </w:rPr>
              <w:t xml:space="preserve">Section 9b: OpenWealth API and production credential added</w:t>
            </w:r>
          </w:p>
        </w:tc>
        <w:tc>
          <w:tcPr>
            <w:tcW w:type="dxa" w:w="1400"/>
            <w:tcBorders>
              <w:top w:val="single" w:color="2A2A35" w:sz="1"/>
              <w:left w:val="single" w:color="2A2A35" w:sz="1"/>
              <w:bottom w:val="single" w:color="2A2A35" w:sz="1"/>
              <w:right w:val="single" w:color="2A2A35" w:sz="1"/>
            </w:tcBorders>
            <w:shd w:fill="E8F5E9" w:val="clear"/>
            <w:tcMar>
              <w:top w:type="dxa" w:w="55"/>
              <w:left w:type="dxa" w:w="90"/>
              <w:bottom w:type="dxa" w:w="55"/>
              <w:right w:type="dxa" w:w="90"/>
            </w:tcMar>
          </w:tcPr>
          <w:p>
            <w:r>
              <w:rPr>
                <w:rFonts w:ascii="Arial" w:cs="Arial" w:eastAsia="Arial" w:hAnsi="Arial"/>
                <w:b/>
                <w:bCs/>
                <w:color w:val="2E7D32"/>
                <w:sz w:val="16"/>
                <w:szCs w:val="16"/>
              </w:rPr>
              <w:t xml:space="preserve">COMPLETE</w:t>
            </w:r>
          </w:p>
        </w:tc>
      </w:tr>
      <w:tr>
        <w:tc>
          <w:tcPr>
            <w:tcW w:type="dxa" w:w="34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bCs/>
                <w:color w:val="E8E2D9"/>
                <w:sz w:val="16"/>
                <w:szCs w:val="16"/>
              </w:rPr>
              <w:t xml:space="preserve">vk5-first-90-days.pdf</w:t>
            </w:r>
          </w:p>
        </w:tc>
        <w:tc>
          <w:tcPr>
            <w:tcW w:type="dxa" w:w="30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Repositioned to pre-signing distribution</w:t>
            </w:r>
          </w:p>
        </w:tc>
        <w:tc>
          <w:tcPr>
            <w:tcW w:type="dxa" w:w="1400"/>
            <w:tcBorders>
              <w:top w:val="single" w:color="2A2A35" w:sz="1"/>
              <w:left w:val="single" w:color="2A2A35" w:sz="1"/>
              <w:bottom w:val="single" w:color="2A2A35" w:sz="1"/>
              <w:right w:val="single" w:color="2A2A35" w:sz="1"/>
            </w:tcBorders>
            <w:shd w:fill="E8F5E9" w:val="clear"/>
            <w:tcMar>
              <w:top w:type="dxa" w:w="55"/>
              <w:left w:type="dxa" w:w="90"/>
              <w:bottom w:type="dxa" w:w="55"/>
              <w:right w:type="dxa" w:w="90"/>
            </w:tcMar>
          </w:tcPr>
          <w:p>
            <w:r>
              <w:rPr>
                <w:rFonts w:ascii="Arial" w:cs="Arial" w:eastAsia="Arial" w:hAnsi="Arial"/>
                <w:b/>
                <w:bCs/>
                <w:color w:val="2E7D32"/>
                <w:sz w:val="16"/>
                <w:szCs w:val="16"/>
              </w:rPr>
              <w:t xml:space="preserve">COMPLETE</w:t>
            </w:r>
          </w:p>
        </w:tc>
      </w:tr>
      <w:tr>
        <w:tc>
          <w:tcPr>
            <w:tcW w:type="dxa" w:w="34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bCs/>
                <w:color w:val="E8E2D9"/>
                <w:sz w:val="16"/>
                <w:szCs w:val="16"/>
              </w:rPr>
              <w:t xml:space="preserve">vk5-why-vektor.pdf</w:t>
            </w:r>
          </w:p>
        </w:tc>
        <w:tc>
          <w:tcPr>
            <w:tcW w:type="dxa" w:w="30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val="false"/>
                <w:bCs w:val="false"/>
                <w:color w:val="E8E2D9"/>
                <w:sz w:val="16"/>
                <w:szCs w:val="16"/>
              </w:rPr>
              <w:t xml:space="preserve">Forbidden terminology removed</w:t>
            </w:r>
          </w:p>
        </w:tc>
        <w:tc>
          <w:tcPr>
            <w:tcW w:type="dxa" w:w="1400"/>
            <w:tcBorders>
              <w:top w:val="single" w:color="2A2A35" w:sz="1"/>
              <w:left w:val="single" w:color="2A2A35" w:sz="1"/>
              <w:bottom w:val="single" w:color="2A2A35" w:sz="1"/>
              <w:right w:val="single" w:color="2A2A35" w:sz="1"/>
            </w:tcBorders>
            <w:shd w:fill="E8F5E9" w:val="clear"/>
            <w:tcMar>
              <w:top w:type="dxa" w:w="55"/>
              <w:left w:type="dxa" w:w="90"/>
              <w:bottom w:type="dxa" w:w="55"/>
              <w:right w:type="dxa" w:w="90"/>
            </w:tcMar>
          </w:tcPr>
          <w:p>
            <w:r>
              <w:rPr>
                <w:rFonts w:ascii="Arial" w:cs="Arial" w:eastAsia="Arial" w:hAnsi="Arial"/>
                <w:b/>
                <w:bCs/>
                <w:color w:val="2E7D32"/>
                <w:sz w:val="16"/>
                <w:szCs w:val="16"/>
              </w:rPr>
              <w:t xml:space="preserve">COMPLETE</w:t>
            </w:r>
          </w:p>
        </w:tc>
      </w:tr>
      <w:tr>
        <w:tc>
          <w:tcPr>
            <w:tcW w:type="dxa" w:w="34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bCs/>
                <w:color w:val="E8E2D9"/>
                <w:sz w:val="16"/>
                <w:szCs w:val="16"/>
              </w:rPr>
              <w:t xml:space="preserve">ip-investor-onepager.pdf</w:t>
            </w:r>
          </w:p>
        </w:tc>
        <w:tc>
          <w:tcPr>
            <w:tcW w:type="dxa" w:w="30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Raise, team, geography, timeline all updated</w:t>
            </w:r>
          </w:p>
        </w:tc>
        <w:tc>
          <w:tcPr>
            <w:tcW w:type="dxa" w:w="1400"/>
            <w:tcBorders>
              <w:top w:val="single" w:color="2A2A35" w:sz="1"/>
              <w:left w:val="single" w:color="2A2A35" w:sz="1"/>
              <w:bottom w:val="single" w:color="2A2A35" w:sz="1"/>
              <w:right w:val="single" w:color="2A2A35" w:sz="1"/>
            </w:tcBorders>
            <w:shd w:fill="E8F5E9" w:val="clear"/>
            <w:tcMar>
              <w:top w:type="dxa" w:w="55"/>
              <w:left w:type="dxa" w:w="90"/>
              <w:bottom w:type="dxa" w:w="55"/>
              <w:right w:type="dxa" w:w="90"/>
            </w:tcMar>
          </w:tcPr>
          <w:p>
            <w:r>
              <w:rPr>
                <w:rFonts w:ascii="Arial" w:cs="Arial" w:eastAsia="Arial" w:hAnsi="Arial"/>
                <w:b/>
                <w:bCs/>
                <w:color w:val="2E7D32"/>
                <w:sz w:val="16"/>
                <w:szCs w:val="16"/>
              </w:rPr>
              <w:t xml:space="preserve">COMPLETE</w:t>
            </w:r>
          </w:p>
        </w:tc>
      </w:tr>
    </w:tbl>
    <w:p>
      <w:pPr>
        <w:pStyle w:val="Heading1"/>
        <w:pBdr>
          <w:bottom w:val="single" w:color="C8A96E" w:sz="3" w:space="4"/>
        </w:pBdr>
        <w:spacing w:after="80" w:before="360"/>
      </w:pPr>
      <w:r>
        <w:rPr>
          <w:rFonts w:ascii="Arial" w:cs="Arial" w:eastAsia="Arial" w:hAnsi="Arial"/>
          <w:b/>
          <w:bCs/>
          <w:caps/>
          <w:color w:val="C8A96E"/>
          <w:sz w:val="24"/>
          <w:szCs w:val="24"/>
        </w:rPr>
        <w:t xml:space="preserve">5 · Outstanding Items</w:t>
      </w:r>
    </w:p>
    <w:p>
      <w:pPr>
        <w:pStyle w:val="Heading2"/>
        <w:spacing w:after="60" w:before="240"/>
      </w:pPr>
      <w:r>
        <w:rPr>
          <w:rFonts w:ascii="Arial" w:cs="Arial" w:eastAsia="Arial" w:hAnsi="Arial"/>
          <w:b/>
          <w:bCs/>
          <w:color w:val="E8E8EC"/>
          <w:sz w:val="21"/>
          <w:szCs w:val="21"/>
        </w:rPr>
        <w:t xml:space="preserve">Commercial Critical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00"/>
        <w:gridCol w:w="6800"/>
        <w:gridCol w:w="1400"/>
      </w:tblGrid>
      <w:tr>
        <w:trPr>
          <w:tblHeader/>
        </w:trPr>
        <w:tc>
          <w:tcPr>
            <w:tcW w:type="dxa" w:w="400"/>
            <w:tcBorders>
              <w:top w:val="single" w:color="2A2A35" w:sz="1"/>
              <w:left w:val="single" w:color="2A2A35" w:sz="1"/>
              <w:bottom w:val="single" w:color="2A2A35" w:sz="1"/>
              <w:right w:val="single" w:color="2A2A35" w:sz="1"/>
            </w:tcBorders>
            <w:shd w:fill="C8A96E" w:val="clear"/>
            <w:tcMar>
              <w:top w:type="dxa" w:w="65"/>
              <w:left w:type="dxa" w:w="100"/>
              <w:bottom w:type="dxa" w:w="65"/>
              <w:right w:type="dxa" w:w="100"/>
            </w:tcMar>
          </w:tcPr>
          <w:p>
            <w:r>
              <w:rPr>
                <w:rFonts w:ascii="Arial" w:cs="Arial" w:eastAsia="Arial" w:hAnsi="Arial"/>
                <w:b/>
                <w:bCs/>
                <w:color w:val="FFFFFF"/>
                <w:sz w:val="16"/>
                <w:szCs w:val="16"/>
              </w:rPr>
              <w:t xml:space="preserve">#</w:t>
            </w:r>
          </w:p>
        </w:tc>
        <w:tc>
          <w:tcPr>
            <w:tcW w:type="dxa" w:w="6800"/>
            <w:tcBorders>
              <w:top w:val="single" w:color="2A2A35" w:sz="1"/>
              <w:left w:val="single" w:color="2A2A35" w:sz="1"/>
              <w:bottom w:val="single" w:color="2A2A35" w:sz="1"/>
              <w:right w:val="single" w:color="2A2A35" w:sz="1"/>
            </w:tcBorders>
            <w:shd w:fill="C8A96E" w:val="clear"/>
            <w:tcMar>
              <w:top w:type="dxa" w:w="65"/>
              <w:left w:type="dxa" w:w="100"/>
              <w:bottom w:type="dxa" w:w="65"/>
              <w:right w:type="dxa" w:w="100"/>
            </w:tcMar>
          </w:tcPr>
          <w:p>
            <w:r>
              <w:rPr>
                <w:rFonts w:ascii="Arial" w:cs="Arial" w:eastAsia="Arial" w:hAnsi="Arial"/>
                <w:b/>
                <w:bCs/>
                <w:color w:val="FFFFFF"/>
                <w:sz w:val="16"/>
                <w:szCs w:val="16"/>
              </w:rPr>
              <w:t xml:space="preserve">Item</w:t>
            </w:r>
          </w:p>
        </w:tc>
        <w:tc>
          <w:tcPr>
            <w:tcW w:type="dxa" w:w="1400"/>
            <w:tcBorders>
              <w:top w:val="single" w:color="2A2A35" w:sz="1"/>
              <w:left w:val="single" w:color="2A2A35" w:sz="1"/>
              <w:bottom w:val="single" w:color="2A2A35" w:sz="1"/>
              <w:right w:val="single" w:color="2A2A35" w:sz="1"/>
            </w:tcBorders>
            <w:shd w:fill="C8A96E" w:val="clear"/>
            <w:tcMar>
              <w:top w:type="dxa" w:w="65"/>
              <w:left w:type="dxa" w:w="100"/>
              <w:bottom w:type="dxa" w:w="65"/>
              <w:right w:type="dxa" w:w="100"/>
            </w:tcMar>
          </w:tcPr>
          <w:p>
            <w:r>
              <w:rPr>
                <w:rFonts w:ascii="Arial" w:cs="Arial" w:eastAsia="Arial" w:hAnsi="Arial"/>
                <w:b/>
                <w:bCs/>
                <w:color w:val="FFFFFF"/>
                <w:sz w:val="16"/>
                <w:szCs w:val="16"/>
              </w:rPr>
              <w:t xml:space="preserve">Status</w:t>
            </w:r>
          </w:p>
        </w:tc>
      </w:tr>
      <w:tr>
        <w:tc>
          <w:tcPr>
            <w:tcW w:type="dxa" w:w="4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bCs/>
                <w:color w:val="E8E2D9"/>
                <w:sz w:val="16"/>
                <w:szCs w:val="16"/>
              </w:rPr>
              <w:t xml:space="preserve">C1</w:t>
            </w:r>
          </w:p>
        </w:tc>
        <w:tc>
          <w:tcPr>
            <w:tcW w:type="dxa" w:w="68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First Founding Mandate conversation — STILL NOT STARTED. Suite is ready. This is the commercial priority.</w:t>
            </w:r>
          </w:p>
        </w:tc>
        <w:tc>
          <w:tcPr>
            <w:tcW w:type="dxa" w:w="1400"/>
            <w:tcBorders>
              <w:top w:val="single" w:color="2A2A35" w:sz="1"/>
              <w:left w:val="single" w:color="2A2A35" w:sz="1"/>
              <w:bottom w:val="single" w:color="2A2A35" w:sz="1"/>
              <w:right w:val="single" w:color="2A2A35"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OPEN — OVERDUE</w:t>
            </w:r>
          </w:p>
        </w:tc>
      </w:tr>
      <w:tr>
        <w:tc>
          <w:tcPr>
            <w:tcW w:type="dxa" w:w="4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bCs/>
                <w:color w:val="E8E2D9"/>
                <w:sz w:val="16"/>
                <w:szCs w:val="16"/>
              </w:rPr>
              <w:t xml:space="preserve">C2</w:t>
            </w:r>
          </w:p>
        </w:tc>
        <w:tc>
          <w:tcPr>
            <w:tcW w:type="dxa" w:w="68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val="false"/>
                <w:bCs w:val="false"/>
                <w:color w:val="E8E2D9"/>
                <w:sz w:val="16"/>
                <w:szCs w:val="16"/>
              </w:rPr>
              <w:t xml:space="preserve">UK-01: FCA legal opinion. Budget GBP 5,000–15,000. Commission post-raise.</w:t>
            </w:r>
          </w:p>
        </w:tc>
        <w:tc>
          <w:tcPr>
            <w:tcW w:type="dxa" w:w="1400"/>
            <w:tcBorders>
              <w:top w:val="single" w:color="2A2A35" w:sz="1"/>
              <w:left w:val="single" w:color="2A2A35" w:sz="1"/>
              <w:bottom w:val="single" w:color="2A2A35" w:sz="1"/>
              <w:right w:val="single" w:color="2A2A35" w:sz="1"/>
            </w:tcBorders>
            <w:shd w:fill="E8F5E9" w:val="clear"/>
            <w:tcMar>
              <w:top w:type="dxa" w:w="55"/>
              <w:left w:type="dxa" w:w="90"/>
              <w:bottom w:type="dxa" w:w="55"/>
              <w:right w:type="dxa" w:w="90"/>
            </w:tcMar>
          </w:tcPr>
          <w:p>
            <w:r>
              <w:rPr>
                <w:rFonts w:ascii="Arial" w:cs="Arial" w:eastAsia="Arial" w:hAnsi="Arial"/>
                <w:b/>
                <w:bCs/>
                <w:color w:val="2E7D32"/>
                <w:sz w:val="16"/>
                <w:szCs w:val="16"/>
              </w:rPr>
              <w:t xml:space="preserve">OPEN — BLOCKED</w:t>
            </w:r>
          </w:p>
        </w:tc>
      </w:tr>
    </w:tbl>
    <w:p>
      <w:pPr>
        <w:spacing w:after="0" w:before="80"/>
      </w:pPr>
    </w:p>
    <w:p>
      <w:pPr>
        <w:pStyle w:val="Heading2"/>
        <w:spacing w:after="60" w:before="240"/>
      </w:pPr>
      <w:r>
        <w:rPr>
          <w:rFonts w:ascii="Arial" w:cs="Arial" w:eastAsia="Arial" w:hAnsi="Arial"/>
          <w:b/>
          <w:bCs/>
          <w:color w:val="E8E8EC"/>
          <w:sz w:val="21"/>
          <w:szCs w:val="21"/>
        </w:rPr>
        <w:t xml:space="preserve">New High Priority — This Session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00"/>
        <w:gridCol w:w="6800"/>
        <w:gridCol w:w="1400"/>
      </w:tblGrid>
      <w:tr>
        <w:trPr>
          <w:tblHeader/>
        </w:trPr>
        <w:tc>
          <w:tcPr>
            <w:tcW w:type="dxa" w:w="400"/>
            <w:tcBorders>
              <w:top w:val="single" w:color="2A2A35" w:sz="1"/>
              <w:left w:val="single" w:color="2A2A35" w:sz="1"/>
              <w:bottom w:val="single" w:color="2A2A35" w:sz="1"/>
              <w:right w:val="single" w:color="2A2A35" w:sz="1"/>
            </w:tcBorders>
            <w:shd w:fill="C8A96E" w:val="clear"/>
            <w:tcMar>
              <w:top w:type="dxa" w:w="65"/>
              <w:left w:type="dxa" w:w="100"/>
              <w:bottom w:type="dxa" w:w="65"/>
              <w:right w:type="dxa" w:w="100"/>
            </w:tcMar>
          </w:tcPr>
          <w:p>
            <w:r>
              <w:rPr>
                <w:rFonts w:ascii="Arial" w:cs="Arial" w:eastAsia="Arial" w:hAnsi="Arial"/>
                <w:b/>
                <w:bCs/>
                <w:color w:val="FFFFFF"/>
                <w:sz w:val="16"/>
                <w:szCs w:val="16"/>
              </w:rPr>
              <w:t xml:space="preserve">#</w:t>
            </w:r>
          </w:p>
        </w:tc>
        <w:tc>
          <w:tcPr>
            <w:tcW w:type="dxa" w:w="6800"/>
            <w:tcBorders>
              <w:top w:val="single" w:color="2A2A35" w:sz="1"/>
              <w:left w:val="single" w:color="2A2A35" w:sz="1"/>
              <w:bottom w:val="single" w:color="2A2A35" w:sz="1"/>
              <w:right w:val="single" w:color="2A2A35" w:sz="1"/>
            </w:tcBorders>
            <w:shd w:fill="C8A96E" w:val="clear"/>
            <w:tcMar>
              <w:top w:type="dxa" w:w="65"/>
              <w:left w:type="dxa" w:w="100"/>
              <w:bottom w:type="dxa" w:w="65"/>
              <w:right w:type="dxa" w:w="100"/>
            </w:tcMar>
          </w:tcPr>
          <w:p>
            <w:r>
              <w:rPr>
                <w:rFonts w:ascii="Arial" w:cs="Arial" w:eastAsia="Arial" w:hAnsi="Arial"/>
                <w:b/>
                <w:bCs/>
                <w:color w:val="FFFFFF"/>
                <w:sz w:val="16"/>
                <w:szCs w:val="16"/>
              </w:rPr>
              <w:t xml:space="preserve">Item</w:t>
            </w:r>
          </w:p>
        </w:tc>
        <w:tc>
          <w:tcPr>
            <w:tcW w:type="dxa" w:w="1400"/>
            <w:tcBorders>
              <w:top w:val="single" w:color="2A2A35" w:sz="1"/>
              <w:left w:val="single" w:color="2A2A35" w:sz="1"/>
              <w:bottom w:val="single" w:color="2A2A35" w:sz="1"/>
              <w:right w:val="single" w:color="2A2A35" w:sz="1"/>
            </w:tcBorders>
            <w:shd w:fill="C8A96E" w:val="clear"/>
            <w:tcMar>
              <w:top w:type="dxa" w:w="65"/>
              <w:left w:type="dxa" w:w="100"/>
              <w:bottom w:type="dxa" w:w="65"/>
              <w:right w:type="dxa" w:w="100"/>
            </w:tcMar>
          </w:tcPr>
          <w:p>
            <w:r>
              <w:rPr>
                <w:rFonts w:ascii="Arial" w:cs="Arial" w:eastAsia="Arial" w:hAnsi="Arial"/>
                <w:b/>
                <w:bCs/>
                <w:color w:val="FFFFFF"/>
                <w:sz w:val="16"/>
                <w:szCs w:val="16"/>
              </w:rPr>
              <w:t xml:space="preserve">Status</w:t>
            </w:r>
          </w:p>
        </w:tc>
      </w:tr>
      <w:tr>
        <w:tc>
          <w:tcPr>
            <w:tcW w:type="dxa" w:w="4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bCs/>
                <w:color w:val="E8E2D9"/>
                <w:sz w:val="16"/>
                <w:szCs w:val="16"/>
              </w:rPr>
              <w:t xml:space="preserve">N1</w:t>
            </w:r>
          </w:p>
        </w:tc>
        <w:tc>
          <w:tcPr>
            <w:tcW w:type="dxa" w:w="68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Rebuild ip-brand-story: IP green, new opening (“The colour changed. That was deliberate.”), bridge closing</w:t>
            </w:r>
          </w:p>
        </w:tc>
        <w:tc>
          <w:tcPr>
            <w:tcW w:type="dxa" w:w="1400"/>
            <w:tcBorders>
              <w:top w:val="single" w:color="2A2A35" w:sz="1"/>
              <w:left w:val="single" w:color="2A2A35" w:sz="1"/>
              <w:bottom w:val="single" w:color="2A2A35" w:sz="1"/>
              <w:right w:val="single" w:color="2A2A35"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REQUIRED</w:t>
            </w:r>
          </w:p>
        </w:tc>
      </w:tr>
      <w:tr>
        <w:tc>
          <w:tcPr>
            <w:tcW w:type="dxa" w:w="4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bCs/>
                <w:color w:val="E8E2D9"/>
                <w:sz w:val="16"/>
                <w:szCs w:val="16"/>
              </w:rPr>
              <w:t xml:space="preserve">N2</w:t>
            </w:r>
          </w:p>
        </w:tc>
        <w:tc>
          <w:tcPr>
            <w:tcW w:type="dxa" w:w="68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val="false"/>
                <w:bCs w:val="false"/>
                <w:color w:val="E8E2D9"/>
                <w:sz w:val="16"/>
                <w:szCs w:val="16"/>
              </w:rPr>
              <w:t xml:space="preserve">Sub-brand naming pass: “Vektor : Boutique” and “Vektor : Institutional” across all docs</w:t>
            </w:r>
          </w:p>
        </w:tc>
        <w:tc>
          <w:tcPr>
            <w:tcW w:type="dxa" w:w="1400"/>
            <w:tcBorders>
              <w:top w:val="single" w:color="2A2A35" w:sz="1"/>
              <w:left w:val="single" w:color="2A2A35" w:sz="1"/>
              <w:bottom w:val="single" w:color="2A2A35" w:sz="1"/>
              <w:right w:val="single" w:color="2A2A35"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REQUIRED</w:t>
            </w:r>
          </w:p>
        </w:tc>
      </w:tr>
      <w:tr>
        <w:tc>
          <w:tcPr>
            <w:tcW w:type="dxa" w:w="4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bCs/>
                <w:color w:val="E8E2D9"/>
                <w:sz w:val="16"/>
                <w:szCs w:val="16"/>
              </w:rPr>
              <w:t xml:space="preserve">N3</w:t>
            </w:r>
          </w:p>
        </w:tc>
        <w:tc>
          <w:tcPr>
            <w:tcW w:type="dxa" w:w="68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Update brand voice guide with colon-with-space rule for sub-brand names</w:t>
            </w:r>
          </w:p>
        </w:tc>
        <w:tc>
          <w:tcPr>
            <w:tcW w:type="dxa" w:w="1400"/>
            <w:tcBorders>
              <w:top w:val="single" w:color="2A2A35" w:sz="1"/>
              <w:left w:val="single" w:color="2A2A35" w:sz="1"/>
              <w:bottom w:val="single" w:color="2A2A35" w:sz="1"/>
              <w:right w:val="single" w:color="2A2A35"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REQUIRED</w:t>
            </w:r>
          </w:p>
        </w:tc>
      </w:tr>
      <w:tr>
        <w:tc>
          <w:tcPr>
            <w:tcW w:type="dxa" w:w="4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bCs/>
                <w:color w:val="E8E2D9"/>
                <w:sz w:val="16"/>
                <w:szCs w:val="16"/>
              </w:rPr>
              <w:t xml:space="preserve">N4</w:t>
            </w:r>
          </w:p>
        </w:tc>
        <w:tc>
          <w:tcPr>
            <w:tcW w:type="dxa" w:w="68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val="false"/>
                <w:bCs w:val="false"/>
                <w:color w:val="E8E2D9"/>
                <w:sz w:val="16"/>
                <w:szCs w:val="16"/>
              </w:rPr>
              <w:t xml:space="preserve">Founder story placeholders: CEO background, CTO background, three collaborators — founding team task</w:t>
            </w:r>
          </w:p>
        </w:tc>
        <w:tc>
          <w:tcPr>
            <w:tcW w:type="dxa" w:w="1400"/>
            <w:tcBorders>
              <w:top w:val="single" w:color="2A2A35" w:sz="1"/>
              <w:left w:val="single" w:color="2A2A35" w:sz="1"/>
              <w:bottom w:val="single" w:color="2A2A35" w:sz="1"/>
              <w:right w:val="single" w:color="2A2A35"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REQUIRED</w:t>
            </w:r>
          </w:p>
        </w:tc>
      </w:tr>
      <w:tr>
        <w:tc>
          <w:tcPr>
            <w:tcW w:type="dxa" w:w="4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bCs/>
                <w:color w:val="E8E2D9"/>
                <w:sz w:val="16"/>
                <w:szCs w:val="16"/>
              </w:rPr>
              <w:t xml:space="preserve">N5</w:t>
            </w:r>
          </w:p>
        </w:tc>
        <w:tc>
          <w:tcPr>
            <w:tcW w:type="dxa" w:w="68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Build financial model: direct channel base case (3 scenarios) + institutional upside. US$ denominated.</w:t>
            </w:r>
          </w:p>
        </w:tc>
        <w:tc>
          <w:tcPr>
            <w:tcW w:type="dxa" w:w="1400"/>
            <w:tcBorders>
              <w:top w:val="single" w:color="2A2A35" w:sz="1"/>
              <w:left w:val="single" w:color="2A2A35" w:sz="1"/>
              <w:bottom w:val="single" w:color="2A2A35" w:sz="1"/>
              <w:right w:val="single" w:color="2A2A35"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REQUIRED</w:t>
            </w:r>
          </w:p>
        </w:tc>
      </w:tr>
      <w:tr>
        <w:tc>
          <w:tcPr>
            <w:tcW w:type="dxa" w:w="4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bCs/>
                <w:color w:val="E8E2D9"/>
                <w:sz w:val="16"/>
                <w:szCs w:val="16"/>
              </w:rPr>
              <w:t xml:space="preserve">N6</w:t>
            </w:r>
          </w:p>
        </w:tc>
        <w:tc>
          <w:tcPr>
            <w:tcW w:type="dxa" w:w="68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val="false"/>
                <w:bCs w:val="false"/>
                <w:color w:val="E8E2D9"/>
                <w:sz w:val="16"/>
                <w:szCs w:val="16"/>
              </w:rPr>
              <w:t xml:space="preserve">Build investor deck and memo: NDA version first, public version second</w:t>
            </w:r>
          </w:p>
        </w:tc>
        <w:tc>
          <w:tcPr>
            <w:tcW w:type="dxa" w:w="1400"/>
            <w:tcBorders>
              <w:top w:val="single" w:color="2A2A35" w:sz="1"/>
              <w:left w:val="single" w:color="2A2A35" w:sz="1"/>
              <w:bottom w:val="single" w:color="2A2A35" w:sz="1"/>
              <w:right w:val="single" w:color="2A2A35"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REQUIRED</w:t>
            </w:r>
          </w:p>
        </w:tc>
      </w:tr>
      <w:tr>
        <w:tc>
          <w:tcPr>
            <w:tcW w:type="dxa" w:w="4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bCs/>
                <w:color w:val="E8E2D9"/>
                <w:sz w:val="16"/>
                <w:szCs w:val="16"/>
              </w:rPr>
              <w:t xml:space="preserve">N7</w:t>
            </w:r>
          </w:p>
        </w:tc>
        <w:tc>
          <w:tcPr>
            <w:tcW w:type="dxa" w:w="68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Create UAT scenario template — referenced in implementation methodology, must exist before distribution</w:t>
            </w:r>
          </w:p>
        </w:tc>
        <w:tc>
          <w:tcPr>
            <w:tcW w:type="dxa" w:w="1400"/>
            <w:tcBorders>
              <w:top w:val="single" w:color="2A2A35" w:sz="1"/>
              <w:left w:val="single" w:color="2A2A35" w:sz="1"/>
              <w:bottom w:val="single" w:color="2A2A35" w:sz="1"/>
              <w:right w:val="single" w:color="2A2A35"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REQUIRED</w:t>
            </w:r>
          </w:p>
        </w:tc>
      </w:tr>
      <w:tr>
        <w:tc>
          <w:tcPr>
            <w:tcW w:type="dxa" w:w="4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bCs/>
                <w:color w:val="E8E2D9"/>
                <w:sz w:val="16"/>
                <w:szCs w:val="16"/>
              </w:rPr>
              <w:t xml:space="preserve">N8</w:t>
            </w:r>
          </w:p>
        </w:tc>
        <w:tc>
          <w:tcPr>
            <w:tcW w:type="dxa" w:w="6800"/>
            <w:tcBorders>
              <w:top w:val="single" w:color="2A2A35" w:sz="1"/>
              <w:left w:val="single" w:color="2A2A35" w:sz="1"/>
              <w:bottom w:val="single" w:color="2A2A35" w:sz="1"/>
              <w:right w:val="single" w:color="2A2A35" w:sz="1"/>
            </w:tcBorders>
            <w:shd w:fill="0A0A0F" w:val="clear"/>
            <w:tcMar>
              <w:top w:type="dxa" w:w="55"/>
              <w:left w:type="dxa" w:w="100"/>
              <w:bottom w:type="dxa" w:w="55"/>
              <w:right w:type="dxa" w:w="100"/>
            </w:tcMar>
          </w:tcPr>
          <w:p>
            <w:r>
              <w:rPr>
                <w:rFonts w:ascii="Arial" w:cs="Arial" w:eastAsia="Arial" w:hAnsi="Arial"/>
                <w:b w:val="false"/>
                <w:bCs w:val="false"/>
                <w:color w:val="E8E2D9"/>
                <w:sz w:val="16"/>
                <w:szCs w:val="16"/>
              </w:rPr>
              <w:t xml:space="preserve">Implement repository restructure: new folders, file moves, deploy.sh with tier3 exclusion guard</w:t>
            </w:r>
          </w:p>
        </w:tc>
        <w:tc>
          <w:tcPr>
            <w:tcW w:type="dxa" w:w="1400"/>
            <w:tcBorders>
              <w:top w:val="single" w:color="2A2A35" w:sz="1"/>
              <w:left w:val="single" w:color="2A2A35" w:sz="1"/>
              <w:bottom w:val="single" w:color="2A2A35" w:sz="1"/>
              <w:right w:val="single" w:color="2A2A35"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REQUIRED</w:t>
            </w:r>
          </w:p>
        </w:tc>
      </w:tr>
      <w:tr>
        <w:tc>
          <w:tcPr>
            <w:tcW w:type="dxa" w:w="4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bCs/>
                <w:color w:val="E8E2D9"/>
                <w:sz w:val="16"/>
                <w:szCs w:val="16"/>
              </w:rPr>
              <w:t xml:space="preserve">N9</w:t>
            </w:r>
          </w:p>
        </w:tc>
        <w:tc>
          <w:tcPr>
            <w:tcW w:type="dxa" w:w="6800"/>
            <w:tcBorders>
              <w:top w:val="single" w:color="2A2A35" w:sz="1"/>
              <w:left w:val="single" w:color="2A2A35" w:sz="1"/>
              <w:bottom w:val="single" w:color="2A2A35" w:sz="1"/>
              <w:right w:val="single" w:color="2A2A35" w:sz="1"/>
            </w:tcBorders>
            <w:shd w:fill="111118" w:val="clear"/>
            <w:tcMar>
              <w:top w:type="dxa" w:w="55"/>
              <w:left w:type="dxa" w:w="100"/>
              <w:bottom w:type="dxa" w:w="55"/>
              <w:right w:type="dxa" w:w="100"/>
            </w:tcMar>
          </w:tcPr>
          <w:p>
            <w:r>
              <w:rPr>
                <w:rFonts w:ascii="Arial" w:cs="Arial" w:eastAsia="Arial" w:hAnsi="Arial"/>
                <w:b w:val="false"/>
                <w:bCs w:val="false"/>
                <w:color w:val="E8E2D9"/>
                <w:sz w:val="16"/>
                <w:szCs w:val="16"/>
              </w:rPr>
              <w:t xml:space="preserve">Create institutional commercial model: platform fee + per-mandate structure with indicative ranges</w:t>
            </w:r>
          </w:p>
        </w:tc>
        <w:tc>
          <w:tcPr>
            <w:tcW w:type="dxa" w:w="1400"/>
            <w:tcBorders>
              <w:top w:val="single" w:color="2A2A35" w:sz="1"/>
              <w:left w:val="single" w:color="2A2A35" w:sz="1"/>
              <w:bottom w:val="single" w:color="2A2A35" w:sz="1"/>
              <w:right w:val="single" w:color="2A2A35"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REQUIRED</w:t>
            </w:r>
          </w:p>
        </w:tc>
      </w:tr>
    </w:tbl>
    <w:p>
      <w:pPr>
        <w:pStyle w:val="Heading1"/>
        <w:pBdr>
          <w:bottom w:val="single" w:color="C8A96E" w:sz="3" w:space="4"/>
        </w:pBdr>
        <w:spacing w:after="80" w:before="360"/>
      </w:pPr>
      <w:r>
        <w:rPr>
          <w:rFonts w:ascii="Arial" w:cs="Arial" w:eastAsia="Arial" w:hAnsi="Arial"/>
          <w:b/>
          <w:bCs/>
          <w:caps/>
          <w:color w:val="C8A96E"/>
          <w:sz w:val="24"/>
          <w:szCs w:val="24"/>
        </w:rPr>
        <w:t xml:space="preserve">6 · Repository Structure Changes Required</w:t>
      </w:r>
    </w:p>
    <w:p>
      <w:pPr>
        <w:spacing w:after="50" w:before="50" w:line="315" w:lineRule="auto"/>
      </w:pPr>
      <w:r>
        <w:rPr>
          <w:rFonts w:ascii="Arial" w:cs="Arial" w:eastAsia="Arial" w:hAnsi="Arial"/>
          <w:b w:val="false"/>
          <w:bCs w:val="false"/>
          <w:i w:val="false"/>
          <w:iCs w:val="false"/>
          <w:color w:val="E8E2D9"/>
          <w:sz w:val="20"/>
          <w:szCs w:val="20"/>
        </w:rPr>
        <w:t xml:space="preserve">The repository zip does not yet reflect the new structure. See ip-repository-structure.docx for the full annotated spec.</w:t>
      </w:r>
    </w:p>
    <w:p>
      <w:pPr>
        <w:spacing w:after="0" w:before="60"/>
      </w:pP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New folders to create:</w:t>
      </w:r>
      <w:r>
        <w:rPr>
          <w:rFonts w:ascii="Arial" w:cs="Arial" w:eastAsia="Arial" w:hAnsi="Arial"/>
          <w:b w:val="false"/>
          <w:bCs w:val="false"/>
          <w:i w:val="false"/>
          <w:iCs w:val="false"/>
          <w:color w:val="E8E2D9"/>
          <w:sz w:val="20"/>
          <w:szCs w:val="20"/>
        </w:rPr>
        <w:t xml:space="preserve"> brand/, institutional/, internal/, distribution/, _staging/ — all with sub-folders per the structure document.</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Folder renames:</w:t>
      </w:r>
      <w:r>
        <w:rPr>
          <w:rFonts w:ascii="Arial" w:cs="Arial" w:eastAsia="Arial" w:hAnsi="Arial"/>
          <w:b w:val="false"/>
          <w:bCs w:val="false"/>
          <w:i w:val="false"/>
          <w:iCs w:val="false"/>
          <w:color w:val="E8E2D9"/>
          <w:sz w:val="20"/>
          <w:szCs w:val="20"/>
        </w:rPr>
        <w:t xml:space="preserve"> website/assets/docs/ungated/ → public/ and gated/ → qualified/</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Files to move:</w:t>
      </w:r>
      <w:r>
        <w:rPr>
          <w:rFonts w:ascii="Arial" w:cs="Arial" w:eastAsia="Arial" w:hAnsi="Arial"/>
          <w:b w:val="false"/>
          <w:bCs w:val="false"/>
          <w:i w:val="false"/>
          <w:iCs w:val="false"/>
          <w:color w:val="E8E2D9"/>
          <w:sz w:val="20"/>
          <w:szCs w:val="20"/>
        </w:rPr>
        <w:t xml:space="preserve"> vk5-mutual-nda → distribution/nda-template/. OUTSTANDING.md, PARKED.md, PANELS.md → internal/ops/. New documents → appropriate tier folders.</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deploy.sh:</w:t>
      </w:r>
      <w:r>
        <w:rPr>
          <w:rFonts w:ascii="Arial" w:cs="Arial" w:eastAsia="Arial" w:hAnsi="Arial"/>
          <w:b w:val="false"/>
          <w:bCs w:val="false"/>
          <w:i w:val="false"/>
          <w:iCs w:val="false"/>
          <w:color w:val="E8E2D9"/>
          <w:sz w:val="20"/>
          <w:szCs w:val="20"/>
        </w:rPr>
        <w:t xml:space="preserve"> Update folder names + add explicit tier3 exclusion guard. See ip-repository-structure.docx Section 4 for spec.</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README.md:</w:t>
      </w:r>
      <w:r>
        <w:rPr>
          <w:rFonts w:ascii="Arial" w:cs="Arial" w:eastAsia="Arial" w:hAnsi="Arial"/>
          <w:b w:val="false"/>
          <w:bCs w:val="false"/>
          <w:i w:val="false"/>
          <w:iCs w:val="false"/>
          <w:color w:val="E8E2D9"/>
          <w:sz w:val="20"/>
          <w:szCs w:val="20"/>
        </w:rPr>
        <w:t xml:space="preserve"> Needs significant update: two-channel strategy, revised raise target, five-person team, sub-brand architecture, three-tier classification.</w:t>
      </w:r>
    </w:p>
    <w:p>
      <w:pPr>
        <w:pStyle w:val="Heading1"/>
        <w:pBdr>
          <w:bottom w:val="single" w:color="C8A96E" w:sz="3" w:space="4"/>
        </w:pBdr>
        <w:spacing w:after="80" w:before="360"/>
      </w:pPr>
      <w:r>
        <w:rPr>
          <w:rFonts w:ascii="Arial" w:cs="Arial" w:eastAsia="Arial" w:hAnsi="Arial"/>
          <w:b/>
          <w:bCs/>
          <w:caps/>
          <w:color w:val="C8A96E"/>
          <w:sz w:val="24"/>
          <w:szCs w:val="24"/>
        </w:rPr>
        <w:t xml:space="preserve">7 · Panel Rosters — This Session</w:t>
      </w:r>
    </w:p>
    <w:p>
      <w:pPr>
        <w:pStyle w:val="Heading2"/>
        <w:spacing w:after="60" w:before="240"/>
      </w:pPr>
      <w:r>
        <w:rPr>
          <w:rFonts w:ascii="Arial" w:cs="Arial" w:eastAsia="Arial" w:hAnsi="Arial"/>
          <w:b/>
          <w:bCs/>
          <w:color w:val="E8E8EC"/>
          <w:sz w:val="21"/>
          <w:szCs w:val="21"/>
        </w:rPr>
        <w:t xml:space="preserve">Original strategic panel (14 members) — reconvened</w:t>
      </w:r>
    </w:p>
    <w:p>
      <w:pPr>
        <w:spacing w:after="50" w:before="50" w:line="315" w:lineRule="auto"/>
      </w:pPr>
      <w:r>
        <w:rPr>
          <w:rFonts w:ascii="Arial" w:cs="Arial" w:eastAsia="Arial" w:hAnsi="Arial"/>
          <w:b w:val="false"/>
          <w:bCs w:val="false"/>
          <w:i w:val="false"/>
          <w:iCs w:val="false"/>
          <w:color w:val="E8E2D9"/>
          <w:sz w:val="20"/>
          <w:szCs w:val="20"/>
        </w:rPr>
        <w:t xml:space="preserve">Priya Nair (RM), James Whitfield (DPM), Helena Strauss (Head of PB), Marcus Yeo (FO CIO), Claudia Reyes (MFO COO), David Okonkwo (Independent DPM), Serena Toh (Investment Products), Rajiv Mehta (Senior RM), Fiona Lau (Technology), Thomas Brandt (FO Services), Lena Kaufmann (OpenWealth), Kieran Molloy (Investor), Pierre-Antoine Favre (Swiss IAM), Stephanie Ng (Custodian Bank EAM Services).</w:t>
      </w:r>
    </w:p>
    <w:p>
      <w:pPr>
        <w:spacing w:after="0" w:before="60"/>
      </w:pPr>
    </w:p>
    <w:p>
      <w:pPr>
        <w:pStyle w:val="Heading2"/>
        <w:spacing w:after="60" w:before="240"/>
      </w:pPr>
      <w:r>
        <w:rPr>
          <w:rFonts w:ascii="Arial" w:cs="Arial" w:eastAsia="Arial" w:hAnsi="Arial"/>
          <w:b/>
          <w:bCs/>
          <w:color w:val="E8E8EC"/>
          <w:sz w:val="21"/>
          <w:szCs w:val="21"/>
        </w:rPr>
        <w:t xml:space="preserve">New editorial/market panel (10 members) — convened this session</w:t>
      </w:r>
    </w:p>
    <w:p>
      <w:pPr>
        <w:spacing w:after="50" w:before="50" w:line="315" w:lineRule="auto"/>
      </w:pPr>
      <w:r>
        <w:rPr>
          <w:rFonts w:ascii="Arial" w:cs="Arial" w:eastAsia="Arial" w:hAnsi="Arial"/>
          <w:b w:val="false"/>
          <w:bCs w:val="false"/>
          <w:i w:val="false"/>
          <w:iCs w:val="false"/>
          <w:color w:val="E8E2D9"/>
          <w:sz w:val="20"/>
          <w:szCs w:val="20"/>
        </w:rPr>
        <w:t xml:space="preserve">Alastair Drummond (Independent DPM, Singapore), Nathalie Chevalier (EAM principal, Geneva), Jonathan Wiley (Family Office CIO, Singapore), Preethi Subramanian (Independent WM, London), Raymond Cheung (Head of Research, Hong Kong), Clare Mossop (Senior Editor), Tariq Hassan (B2B Copywriter), Sofia Reimann (Brand Strategist), Michael Trent (Technical Writer), Yuki Tanaka (Editor, WM Media).</w:t>
      </w:r>
    </w:p>
    <w:p>
      <w:pPr>
        <w:spacing w:after="0" w:before="60"/>
      </w:pPr>
    </w:p>
    <w:p>
      <w:pPr>
        <w:spacing w:after="50" w:before="50" w:line="315" w:lineRule="auto"/>
      </w:pPr>
      <w:r>
        <w:rPr>
          <w:rFonts w:ascii="Arial" w:cs="Arial" w:eastAsia="Arial" w:hAnsi="Arial"/>
          <w:b w:val="false"/>
          <w:bCs w:val="false"/>
          <w:i w:val="false"/>
          <w:iCs w:val="false"/>
          <w:color w:val="E8E2D9"/>
          <w:sz w:val="20"/>
          <w:szCs w:val="20"/>
        </w:rPr>
        <w:t xml:space="preserve">All 24 available for reconvening. Combined panel has been briefed on all decisions in this session.</w:t>
      </w:r>
    </w:p>
    <w:p>
      <w:pPr>
        <w:pStyle w:val="Heading1"/>
        <w:pBdr>
          <w:bottom w:val="single" w:color="C8A96E" w:sz="3" w:space="4"/>
        </w:pBdr>
        <w:spacing w:after="80" w:before="360"/>
      </w:pPr>
      <w:r>
        <w:rPr>
          <w:rFonts w:ascii="Arial" w:cs="Arial" w:eastAsia="Arial" w:hAnsi="Arial"/>
          <w:b/>
          <w:bCs/>
          <w:caps/>
          <w:color w:val="C8A96E"/>
          <w:sz w:val="24"/>
          <w:szCs w:val="24"/>
        </w:rPr>
        <w:t xml:space="preserve">8 · Priority Actions — Next Session</w:t>
      </w:r>
    </w:p>
    <w:p>
      <w:pPr>
        <w:spacing w:after="50" w:before="50" w:line="315" w:lineRule="auto"/>
      </w:pPr>
      <w:r>
        <w:rPr>
          <w:rFonts w:ascii="Arial" w:cs="Arial" w:eastAsia="Arial" w:hAnsi="Arial"/>
          <w:b w:val="false"/>
          <w:bCs w:val="false"/>
          <w:i w:val="false"/>
          <w:iCs w:val="false"/>
          <w:color w:val="E8E2D9"/>
          <w:sz w:val="20"/>
          <w:szCs w:val="20"/>
        </w:rPr>
        <w:t xml:space="preserve">In order of leverage. Items 1–5 are the most time-sensitive.</w:t>
      </w:r>
    </w:p>
    <w:p>
      <w:pPr>
        <w:spacing w:after="0" w:before="60"/>
      </w:pPr>
    </w:p>
    <w:p>
      <w:pPr>
        <w:pStyle w:val="ListParagraph"/>
        <w:numPr>
          <w:ilvl w:val="0"/>
          <w:numId w:val="3"/>
        </w:numPr>
        <w:spacing w:after="60" w:before="60" w:line="300" w:lineRule="auto"/>
      </w:pPr>
      <w:r>
        <w:rPr>
          <w:rFonts w:ascii="Arial" w:cs="Arial" w:eastAsia="Arial" w:hAnsi="Arial"/>
          <w:b/>
          <w:bCs/>
          <w:color w:val="E8E8EC"/>
          <w:sz w:val="20"/>
          <w:szCs w:val="20"/>
        </w:rPr>
        <w:t xml:space="preserve">Rebuild ip-brand-story.docx.</w:t>
      </w:r>
      <w:r>
        <w:rPr>
          <w:rFonts w:ascii="Arial" w:cs="Arial" w:eastAsia="Arial" w:hAnsi="Arial"/>
          <w:b w:val="false"/>
          <w:bCs w:val="false"/>
          <w:color w:val="E8E2D9"/>
          <w:sz w:val="20"/>
          <w:szCs w:val="20"/>
        </w:rPr>
        <w:t xml:space="preserve"> InvestPuppy green. New opening. Bridge closing. This is the most brand-significant outstanding task.</w:t>
      </w:r>
    </w:p>
    <w:p>
      <w:pPr>
        <w:pStyle w:val="ListParagraph"/>
        <w:numPr>
          <w:ilvl w:val="0"/>
          <w:numId w:val="3"/>
        </w:numPr>
        <w:spacing w:after="60" w:before="60" w:line="300" w:lineRule="auto"/>
      </w:pPr>
      <w:r>
        <w:rPr>
          <w:rFonts w:ascii="Arial" w:cs="Arial" w:eastAsia="Arial" w:hAnsi="Arial"/>
          <w:b/>
          <w:bCs/>
          <w:color w:val="E8E8EC"/>
          <w:sz w:val="20"/>
          <w:szCs w:val="20"/>
        </w:rPr>
        <w:t xml:space="preserve">Sub-brand naming pass.</w:t>
      </w:r>
      <w:r>
        <w:rPr>
          <w:rFonts w:ascii="Arial" w:cs="Arial" w:eastAsia="Arial" w:hAnsi="Arial"/>
          <w:b w:val="false"/>
          <w:bCs w:val="false"/>
          <w:color w:val="E8E2D9"/>
          <w:sz w:val="20"/>
          <w:szCs w:val="20"/>
        </w:rPr>
        <w:t xml:space="preserve"> “Vektor : Boutique” and “Vektor : Institutional” (with preceding space) across all relevant documents.</w:t>
      </w:r>
    </w:p>
    <w:p>
      <w:pPr>
        <w:pStyle w:val="ListParagraph"/>
        <w:numPr>
          <w:ilvl w:val="0"/>
          <w:numId w:val="3"/>
        </w:numPr>
        <w:spacing w:after="60" w:before="60" w:line="300" w:lineRule="auto"/>
      </w:pPr>
      <w:r>
        <w:rPr>
          <w:rFonts w:ascii="Arial" w:cs="Arial" w:eastAsia="Arial" w:hAnsi="Arial"/>
          <w:b/>
          <w:bCs/>
          <w:color w:val="E8E8EC"/>
          <w:sz w:val="20"/>
          <w:szCs w:val="20"/>
        </w:rPr>
        <w:t xml:space="preserve">Fill founder story placeholders.</w:t>
      </w:r>
      <w:r>
        <w:rPr>
          <w:rFonts w:ascii="Arial" w:cs="Arial" w:eastAsia="Arial" w:hAnsi="Arial"/>
          <w:b w:val="false"/>
          <w:bCs w:val="false"/>
          <w:color w:val="E8E2D9"/>
          <w:sz w:val="20"/>
          <w:szCs w:val="20"/>
        </w:rPr>
        <w:t xml:space="preserve"> Founding team task. Prerequisite for the NDA investor pack.</w:t>
      </w:r>
    </w:p>
    <w:p>
      <w:pPr>
        <w:pStyle w:val="ListParagraph"/>
        <w:numPr>
          <w:ilvl w:val="0"/>
          <w:numId w:val="3"/>
        </w:numPr>
        <w:spacing w:after="60" w:before="60" w:line="300" w:lineRule="auto"/>
      </w:pPr>
      <w:r>
        <w:rPr>
          <w:rFonts w:ascii="Arial" w:cs="Arial" w:eastAsia="Arial" w:hAnsi="Arial"/>
          <w:b/>
          <w:bCs/>
          <w:color w:val="E8E8EC"/>
          <w:sz w:val="20"/>
          <w:szCs w:val="20"/>
        </w:rPr>
        <w:t xml:space="preserve">Build the financial model.</w:t>
      </w:r>
      <w:r>
        <w:rPr>
          <w:rFonts w:ascii="Arial" w:cs="Arial" w:eastAsia="Arial" w:hAnsi="Arial"/>
          <w:b w:val="false"/>
          <w:bCs w:val="false"/>
          <w:color w:val="E8E2D9"/>
          <w:sz w:val="20"/>
          <w:szCs w:val="20"/>
        </w:rPr>
        <w:t xml:space="preserve"> Direct channel base case (three scenarios) + institutional upside. US$ denominated. The investor ask follows from the model.</w:t>
      </w:r>
    </w:p>
    <w:p>
      <w:pPr>
        <w:pStyle w:val="ListParagraph"/>
        <w:numPr>
          <w:ilvl w:val="0"/>
          <w:numId w:val="3"/>
        </w:numPr>
        <w:spacing w:after="60" w:before="60" w:line="300" w:lineRule="auto"/>
      </w:pPr>
      <w:r>
        <w:rPr>
          <w:rFonts w:ascii="Arial" w:cs="Arial" w:eastAsia="Arial" w:hAnsi="Arial"/>
          <w:b/>
          <w:bCs/>
          <w:color w:val="E8E8EC"/>
          <w:sz w:val="20"/>
          <w:szCs w:val="20"/>
        </w:rPr>
        <w:t xml:space="preserve">Build investor deck.</w:t>
      </w:r>
      <w:r>
        <w:rPr>
          <w:rFonts w:ascii="Arial" w:cs="Arial" w:eastAsia="Arial" w:hAnsi="Arial"/>
          <w:b w:val="false"/>
          <w:bCs w:val="false"/>
          <w:color w:val="E8E2D9"/>
          <w:sz w:val="20"/>
          <w:szCs w:val="20"/>
        </w:rPr>
        <w:t xml:space="preserve"> NDA version first (full team disclosure). Public version second.</w:t>
      </w:r>
    </w:p>
    <w:p>
      <w:pPr>
        <w:pStyle w:val="ListParagraph"/>
        <w:numPr>
          <w:ilvl w:val="0"/>
          <w:numId w:val="3"/>
        </w:numPr>
        <w:spacing w:after="60" w:before="60" w:line="300" w:lineRule="auto"/>
      </w:pPr>
      <w:r>
        <w:rPr>
          <w:rFonts w:ascii="Arial" w:cs="Arial" w:eastAsia="Arial" w:hAnsi="Arial"/>
          <w:b/>
          <w:bCs/>
          <w:color w:val="E8E8EC"/>
          <w:sz w:val="20"/>
          <w:szCs w:val="20"/>
        </w:rPr>
        <w:t xml:space="preserve">Create UAT scenario template.</w:t>
      </w:r>
      <w:r>
        <w:rPr>
          <w:rFonts w:ascii="Arial" w:cs="Arial" w:eastAsia="Arial" w:hAnsi="Arial"/>
          <w:b w:val="false"/>
          <w:bCs w:val="false"/>
          <w:color w:val="E8E2D9"/>
          <w:sz w:val="20"/>
          <w:szCs w:val="20"/>
        </w:rPr>
        <w:t xml:space="preserve"> Two-hour task. Must exist before implementation methodology is distributed.</w:t>
      </w:r>
    </w:p>
    <w:p>
      <w:pPr>
        <w:pStyle w:val="ListParagraph"/>
        <w:numPr>
          <w:ilvl w:val="0"/>
          <w:numId w:val="3"/>
        </w:numPr>
        <w:spacing w:after="60" w:before="60" w:line="300" w:lineRule="auto"/>
      </w:pPr>
      <w:r>
        <w:rPr>
          <w:rFonts w:ascii="Arial" w:cs="Arial" w:eastAsia="Arial" w:hAnsi="Arial"/>
          <w:b/>
          <w:bCs/>
          <w:color w:val="E8E8EC"/>
          <w:sz w:val="20"/>
          <w:szCs w:val="20"/>
        </w:rPr>
        <w:t xml:space="preserve">Implement repository restructure.</w:t>
      </w:r>
      <w:r>
        <w:rPr>
          <w:rFonts w:ascii="Arial" w:cs="Arial" w:eastAsia="Arial" w:hAnsi="Arial"/>
          <w:b w:val="false"/>
          <w:bCs w:val="false"/>
          <w:color w:val="E8E2D9"/>
          <w:sz w:val="20"/>
          <w:szCs w:val="20"/>
        </w:rPr>
        <w:t xml:space="preserve"> New folders, file moves, deploy.sh update.</w:t>
      </w:r>
    </w:p>
    <w:p>
      <w:pPr>
        <w:pStyle w:val="ListParagraph"/>
        <w:numPr>
          <w:ilvl w:val="0"/>
          <w:numId w:val="3"/>
        </w:numPr>
        <w:spacing w:after="60" w:before="60" w:line="300" w:lineRule="auto"/>
      </w:pPr>
      <w:r>
        <w:rPr>
          <w:rFonts w:ascii="Arial" w:cs="Arial" w:eastAsia="Arial" w:hAnsi="Arial"/>
          <w:b/>
          <w:bCs/>
          <w:color w:val="E8E8EC"/>
          <w:sz w:val="20"/>
          <w:szCs w:val="20"/>
        </w:rPr>
        <w:t xml:space="preserve">Create institutional commercial model.</w:t>
      </w:r>
      <w:r>
        <w:rPr>
          <w:rFonts w:ascii="Arial" w:cs="Arial" w:eastAsia="Arial" w:hAnsi="Arial"/>
          <w:b w:val="false"/>
          <w:bCs w:val="false"/>
          <w:color w:val="E8E2D9"/>
          <w:sz w:val="20"/>
          <w:szCs w:val="20"/>
        </w:rPr>
        <w:t xml:space="preserve"> Before any custodian bank conversation reaches commercial terms.</w:t>
      </w:r>
    </w:p>
    <w:p>
      <w:pPr>
        <w:pStyle w:val="ListParagraph"/>
        <w:numPr>
          <w:ilvl w:val="0"/>
          <w:numId w:val="3"/>
        </w:numPr>
        <w:spacing w:after="60" w:before="60" w:line="300" w:lineRule="auto"/>
      </w:pPr>
      <w:r>
        <w:rPr>
          <w:rFonts w:ascii="Arial" w:cs="Arial" w:eastAsia="Arial" w:hAnsi="Arial"/>
          <w:b/>
          <w:bCs/>
          <w:color w:val="E8E8EC"/>
          <w:sz w:val="20"/>
          <w:szCs w:val="20"/>
        </w:rPr>
        <w:t xml:space="preserve">Start the first Founding Mandate conversation.</w:t>
      </w:r>
      <w:r>
        <w:rPr>
          <w:rFonts w:ascii="Arial" w:cs="Arial" w:eastAsia="Arial" w:hAnsi="Arial"/>
          <w:b w:val="false"/>
          <w:bCs w:val="false"/>
          <w:color w:val="E8E2D9"/>
          <w:sz w:val="20"/>
          <w:szCs w:val="20"/>
        </w:rPr>
        <w:t xml:space="preserve"> The suite is ready. This is the commercial priority. It is overdue.</w:t>
      </w:r>
    </w:p>
    <w:p>
      <w:pPr>
        <w:spacing w:after="0" w:before="200"/>
      </w:pPr>
    </w:p>
    <w:p>
      <w:pPr>
        <w:pBdr>
          <w:bottom w:val="single" w:color="C8A96E" w:sz="6" w:space="1"/>
        </w:pBdr>
        <w:spacing w:after="180" w:before="0"/>
      </w:pPr>
    </w:p>
    <w:p>
      <w:pPr>
        <w:spacing w:after="0" w:before="80"/>
      </w:pPr>
    </w:p>
    <w:p>
      <w:pPr>
        <w:spacing w:after="40" w:before="0"/>
      </w:pPr>
      <w:r>
        <w:rPr>
          <w:rFonts w:ascii="Arial" w:cs="Arial" w:eastAsia="Arial" w:hAnsi="Arial"/>
          <w:b/>
          <w:bCs/>
          <w:color w:val="E8E8EC"/>
          <w:sz w:val="19"/>
          <w:szCs w:val="19"/>
        </w:rPr>
        <w:t xml:space="preserve">Critical terminology — locked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300"/>
        <w:gridCol w:w="6300"/>
      </w:tblGrid>
      <w:tr>
        <w:tc>
          <w:tcPr>
            <w:tcW w:type="dxa" w:w="2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Never say</w:t>
            </w:r>
          </w:p>
        </w:tc>
        <w:tc>
          <w:tcPr>
            <w:tcW w:type="dxa" w:w="6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Monte Carlo / 99.9% / permanently preferential / simulations per strategy</w:t>
            </w:r>
          </w:p>
        </w:tc>
      </w:tr>
      <w:tr>
        <w:tc>
          <w:tcPr>
            <w:tcW w:type="dxa" w:w="2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Always say</w:t>
            </w:r>
          </w:p>
        </w:tc>
        <w:tc>
          <w:tcPr>
            <w:tcW w:type="dxa" w:w="6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10,000 portfolio configurations / 99.94% / preferential terms locked for the duration / portfolio configurations per strategy</w:t>
            </w:r>
          </w:p>
        </w:tc>
      </w:tr>
      <w:tr>
        <w:tc>
          <w:tcPr>
            <w:tcW w:type="dxa" w:w="2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Sub-brand names</w:t>
            </w:r>
          </w:p>
        </w:tc>
        <w:tc>
          <w:tcPr>
            <w:tcW w:type="dxa" w:w="6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Vektor : Boutique · Vektor : Institutional (space before colon in all uses)</w:t>
            </w:r>
          </w:p>
        </w:tc>
      </w:tr>
      <w:tr>
        <w:tc>
          <w:tcPr>
            <w:tcW w:type="dxa" w:w="2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Brand principles</w:t>
            </w:r>
          </w:p>
        </w:tc>
        <w:tc>
          <w:tcPr>
            <w:tcW w:type="dxa" w:w="6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Honest by design. Serious when it matters. The colour changed. That was deliberate.</w:t>
            </w:r>
          </w:p>
        </w:tc>
      </w:tr>
    </w:tbl>
    <w:p>
      <w:pPr>
        <w:spacing w:after="0" w:before="80"/>
      </w:pPr>
    </w:p>
    <w:p>
      <w:pPr>
        <w:spacing w:after="0" w:before="0"/>
      </w:pPr>
      <w:r>
        <w:rPr>
          <w:rFonts w:ascii="Arial" w:cs="Arial" w:eastAsia="Arial" w:hAnsi="Arial"/>
          <w:color w:val="B8B4C0"/>
          <w:sz w:val="17"/>
          <w:szCs w:val="17"/>
        </w:rPr>
        <w:t xml:space="preserve">InvestPuppy · investpuppy.com · IP-HANDOFF-260513-1.0 · May 2026</w:t>
      </w:r>
    </w:p>
    <w:sectPr>
      <w:headerReference w:type="default" r:id="rId7"/>
      <w:footerReference w:type="default" r:id="rId8"/>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2A35" w:sz="3" w:space="1"/>
      </w:pBdr>
      <w:tabs>
        <w:tab w:val="right" w:pos="8600"/>
      </w:tabs>
      <w:spacing w:after="0" w:before="120"/>
    </w:pPr>
    <w:r>
      <w:rPr>
        <w:rFonts w:ascii="Arial" w:cs="Arial" w:eastAsia="Arial" w:hAnsi="Arial"/>
        <w:i/>
        <w:iCs/>
        <w:color w:val="2A2A35"/>
        <w:sz w:val="14"/>
        <w:szCs w:val="14"/>
      </w:rPr>
      <w:t xml:space="preserve">Internal only · Not for distribution</w:t>
    </w:r>
    <w:r>
      <w:rPr>
        <w:rFonts w:ascii="Arial" w:cs="Arial" w:eastAsia="Arial" w:hAnsi="Arial"/>
        <w:color w:val="2A2A35"/>
        <w:sz w:val="14"/>
        <w:szCs w:val="14"/>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E" w:sz="4" w:space="1"/>
      </w:pBdr>
      <w:tabs>
        <w:tab w:val="right" w:pos="8600"/>
      </w:tabs>
      <w:spacing w:after="120" w:before="0"/>
    </w:pPr>
    <w:r>
      <w:rPr>
        <w:rFonts w:ascii="Arial" w:cs="Arial" w:eastAsia="Arial" w:hAnsi="Arial"/>
        <w:b/>
        <w:bCs/>
        <w:color w:val="C8A96E"/>
        <w:sz w:val="15"/>
        <w:szCs w:val="15"/>
      </w:rPr>
      <w:t xml:space="preserve">InvestPuppy · Session Handoff · IP-HANDOFF-260513-1.0</w:t>
    </w:r>
    <w:r>
      <w:rPr>
        <w:rFonts w:ascii="Arial" w:cs="Arial" w:eastAsia="Arial" w:hAnsi="Arial"/>
        <w:color w:val="2A2A35"/>
        <w:sz w:val="14"/>
        <w:szCs w:val="14"/>
      </w:rPr>
      <w:t xml:space="preserve">	Internal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8E2D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aps/>
      <w:color w:val="C8A96E"/>
      <w:sz w:val="24"/>
      <w:szCs w:val="24"/>
    </w:rPr>
  </w:style>
  <w:style w:type="paragraph" w:styleId="Heading2">
    <w:name w:val="Heading 2"/>
    <w:basedOn w:val="Normal"/>
    <w:next w:val="Normal"/>
    <w:qFormat/>
    <w:pPr>
      <w:spacing w:after="60" w:before="240"/>
      <w:outlineLvl w:val="1"/>
    </w:pPr>
    <w:rPr>
      <w:rFonts w:ascii="Arial" w:cs="Arial" w:eastAsia="Arial" w:hAnsi="Arial"/>
      <w:b/>
      <w:bCs/>
      <w:color w:val="E8E8E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2026-05-12T17:52:16.336Z</dcterms:created>
  <dcterms:modified xsi:type="dcterms:W3CDTF">2026-05-12T17:52:16.351Z</dcterms:modified>
</cp:coreProperties>
</file>

<file path=docProps/custom.xml><?xml version="1.0" encoding="utf-8"?>
<Properties xmlns="http://schemas.openxmlformats.org/officeDocument/2006/custom-properties" xmlns:vt="http://schemas.openxmlformats.org/officeDocument/2006/docPropsVTypes"/>
</file>