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50" w:before="0"/>
      </w:pPr>
      <w:r>
        <w:rPr>
          <w:rFonts w:ascii="Arial" w:cs="Arial" w:eastAsia="Arial" w:hAnsi="Arial"/>
          <w:b/>
          <w:bCs/>
          <w:caps/>
          <w:color w:val="C8A96E"/>
          <w:sz w:val="15"/>
          <w:szCs w:val="15"/>
        </w:rPr>
        <w:t xml:space="preserve">INVESTPUPPY</w:t>
      </w:r>
    </w:p>
    <w:p>
      <w:pPr>
        <w:spacing w:after="80" w:before="0"/>
      </w:pPr>
      <w:r>
        <w:rPr>
          <w:rFonts w:ascii="Arial" w:cs="Arial" w:eastAsia="Arial" w:hAnsi="Arial"/>
          <w:b/>
          <w:bCs/>
          <w:color w:val="E8E8EC"/>
          <w:sz w:val="40"/>
          <w:szCs w:val="40"/>
        </w:rPr>
        <w:t xml:space="preserve">Implementation Methodology</w:t>
      </w:r>
    </w:p>
    <w:p>
      <w:pPr>
        <w:spacing w:after="40" w:before="0"/>
      </w:pPr>
      <w:r>
        <w:rPr>
          <w:rFonts w:ascii="Arial" w:cs="Arial" w:eastAsia="Arial" w:hAnsi="Arial"/>
          <w:i/>
          <w:iCs/>
          <w:color w:val="B8B4C0"/>
          <w:sz w:val="22"/>
          <w:szCs w:val="22"/>
        </w:rPr>
        <w:t xml:space="preserve">How we deliver. Why it is different. Confidential.</w:t>
      </w:r>
    </w:p>
    <w:p>
      <w:pPr>
        <w:pBdr>
          <w:bottom w:val="single" w:color="C8A96E" w:sz="10" w:space="1"/>
        </w:pBdr>
        <w:spacing w:after="180" w:before="0"/>
      </w:pPr>
    </w:p>
    <w:p>
      <w:pPr>
        <w:spacing w:after="0" w:before="80"/>
      </w:pPr>
    </w:p>
    <w:p>
      <w:pPr>
        <w:spacing w:after="50" w:before="50" w:line="315" w:lineRule="auto"/>
      </w:pPr>
      <w:r>
        <w:rPr>
          <w:rFonts w:ascii="Arial" w:cs="Arial" w:eastAsia="Arial" w:hAnsi="Arial"/>
          <w:b w:val="false"/>
          <w:bCs w:val="false"/>
          <w:i/>
          <w:iCs/>
          <w:color w:val="E8E2D9"/>
          <w:sz w:val="20"/>
          <w:szCs w:val="20"/>
        </w:rPr>
        <w:t xml:space="preserve">This document describes InvestPuppy’s implementation methodology for institutional platform deployments — custodian bank integrations, white-label configurations, and EAM platform rollouts. Direct channel clients — boutique DPMs and family offices subscribing individually — receive a structured onboarding rather than an implementation project. Onboarding is hours to days. The methodology described here applies to institutional engagements, which are weeks to months.</w:t>
      </w:r>
    </w:p>
    <w:p>
      <w:pPr>
        <w:spacing w:after="0" w:before="80"/>
      </w:pPr>
    </w:p>
    <w:p>
      <w:pPr>
        <w:pStyle w:val="Heading1"/>
        <w:pBdr>
          <w:bottom w:val="single" w:color="C8A96E" w:sz="3" w:space="4"/>
        </w:pBdr>
        <w:spacing w:after="80" w:before="360"/>
      </w:pPr>
      <w:r>
        <w:rPr>
          <w:rFonts w:ascii="Arial" w:cs="Arial" w:eastAsia="Arial" w:hAnsi="Arial"/>
          <w:b/>
          <w:bCs/>
          <w:caps/>
          <w:color w:val="C8A96E"/>
          <w:sz w:val="24"/>
          <w:szCs w:val="24"/>
        </w:rPr>
        <w:t xml:space="preserve">Our Position</w:t>
      </w:r>
    </w:p>
    <w:p>
      <w:pPr>
        <w:spacing w:after="50" w:before="50" w:line="315" w:lineRule="auto"/>
      </w:pPr>
      <w:r>
        <w:rPr>
          <w:rFonts w:ascii="Arial" w:cs="Arial" w:eastAsia="Arial" w:hAnsi="Arial"/>
          <w:b w:val="false"/>
          <w:bCs w:val="false"/>
          <w:i w:val="false"/>
          <w:iCs w:val="false"/>
          <w:color w:val="E8E2D9"/>
          <w:sz w:val="20"/>
          <w:szCs w:val="20"/>
        </w:rPr>
        <w:t xml:space="preserve">The InvestPuppy: Unvarnished series documents nine failure modes common to financial software implementations. We wrote those papers from direct experience, across careers spent inside the institutions where these failures happened. Having written them, we are in the specific position of being held to the standard they imply. We accept that.</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We published nine papers on why implementations fail.</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Every implementation we deliver is evaluated against what those papers say.</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That is a constraint and an asset simultaneously. We treat it as both.</w:t>
            </w:r>
          </w:p>
        </w:tc>
      </w:tr>
    </w:tbl>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The most consistent failure modes we documented are: accountability gaps between vendor and delivery organisation (UNV-02), consultants who benefit from complexity and extended timelines (UNV-03), UAT processes that test the vendor’s scripts rather than the client’s workflows (UNV-09), and undefined scope that allows both parties to avoid commitment (UNV-05). Our implementation model addresses each of these structurally, not aspirationally.</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The Prime Contractor Model</w:t>
      </w:r>
    </w:p>
    <w:p>
      <w:pPr>
        <w:spacing w:after="50" w:before="50" w:line="315" w:lineRule="auto"/>
      </w:pPr>
      <w:r>
        <w:rPr>
          <w:rFonts w:ascii="Arial" w:cs="Arial" w:eastAsia="Arial" w:hAnsi="Arial"/>
          <w:b w:val="false"/>
          <w:bCs w:val="false"/>
          <w:i w:val="false"/>
          <w:iCs w:val="false"/>
          <w:color w:val="E8E2D9"/>
          <w:sz w:val="20"/>
          <w:szCs w:val="20"/>
        </w:rPr>
        <w:t xml:space="preserve">InvestPuppy primes every implementation engagement. This means:</w:t>
      </w:r>
    </w:p>
    <w:p>
      <w:pPr>
        <w:spacing w:after="0" w:before="60"/>
      </w:pP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The client relationship is InvestPuppy’s throughout.</w:t>
      </w:r>
      <w:r>
        <w:rPr>
          <w:rFonts w:ascii="Arial" w:cs="Arial" w:eastAsia="Arial" w:hAnsi="Arial"/>
          <w:b w:val="false"/>
          <w:bCs w:val="false"/>
          <w:i w:val="false"/>
          <w:iCs w:val="false"/>
          <w:color w:val="E8E2D9"/>
          <w:sz w:val="20"/>
          <w:szCs w:val="20"/>
        </w:rPr>
        <w:t xml:space="preserve"> A partner, consultant, or subcontractor is never the client’s primary contact for the implementation. We do not create the accountability gap we documented.</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Project ownership is InvestPuppy’s throughout.</w:t>
      </w:r>
      <w:r>
        <w:rPr>
          <w:rFonts w:ascii="Arial" w:cs="Arial" w:eastAsia="Arial" w:hAnsi="Arial"/>
          <w:b w:val="false"/>
          <w:bCs w:val="false"/>
          <w:i w:val="false"/>
          <w:iCs w:val="false"/>
          <w:color w:val="E8E2D9"/>
          <w:sz w:val="20"/>
          <w:szCs w:val="20"/>
        </w:rPr>
        <w:t xml:space="preserve"> The project lead on the InvestPuppy side has the authority to make decisions, manage scope, and accept or reject deliverables. This person is named before the project begins.</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Specific tasks may be subcontracted.</w:t>
      </w:r>
      <w:r>
        <w:rPr>
          <w:rFonts w:ascii="Arial" w:cs="Arial" w:eastAsia="Arial" w:hAnsi="Arial"/>
          <w:b w:val="false"/>
          <w:bCs w:val="false"/>
          <w:i w:val="false"/>
          <w:iCs w:val="false"/>
          <w:color w:val="E8E2D9"/>
          <w:sz w:val="20"/>
          <w:szCs w:val="20"/>
        </w:rPr>
        <w:t xml:space="preserve"> Where a defined, bounded task benefits from specialist resource — a specific API integration component, a data migration script, a training session in a specific technical area — InvestPuppy subcontracts that task on fixed-price terms with defined acceptance criteria. The subcontractor delivers to InvestPuppy. InvestPuppy delivers to the client. Accountability does not transfer.</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Subcontractors are named before engagement.</w:t>
      </w:r>
      <w:r>
        <w:rPr>
          <w:rFonts w:ascii="Arial" w:cs="Arial" w:eastAsia="Arial" w:hAnsi="Arial"/>
          <w:b w:val="false"/>
          <w:bCs w:val="false"/>
          <w:i w:val="false"/>
          <w:iCs w:val="false"/>
          <w:color w:val="E8E2D9"/>
          <w:sz w:val="20"/>
          <w:szCs w:val="20"/>
        </w:rPr>
        <w:t xml:space="preserve"> The client knows who is delivering each component before the project starts. We do not introduce partners mid-project without client knowledge and agreement.</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Phase Structure</w:t>
      </w:r>
    </w:p>
    <w:p>
      <w:pPr>
        <w:pStyle w:val="Heading2"/>
        <w:spacing w:after="60" w:before="240"/>
      </w:pPr>
      <w:r>
        <w:rPr>
          <w:rFonts w:ascii="Arial" w:cs="Arial" w:eastAsia="Arial" w:hAnsi="Arial"/>
          <w:b/>
          <w:bCs/>
          <w:color w:val="E8E8EC"/>
          <w:sz w:val="21"/>
          <w:szCs w:val="21"/>
        </w:rPr>
        <w:t xml:space="preserve">Phase 0: Scoping (2–3 weeks)</w:t>
      </w:r>
    </w:p>
    <w:p>
      <w:pPr>
        <w:spacing w:after="50" w:before="50" w:line="315" w:lineRule="auto"/>
      </w:pPr>
      <w:r>
        <w:rPr>
          <w:rFonts w:ascii="Arial" w:cs="Arial" w:eastAsia="Arial" w:hAnsi="Arial"/>
          <w:b w:val="false"/>
          <w:bCs w:val="false"/>
          <w:i w:val="false"/>
          <w:iCs w:val="false"/>
          <w:color w:val="E8E2D9"/>
          <w:sz w:val="20"/>
          <w:szCs w:val="20"/>
        </w:rPr>
        <w:t xml:space="preserve">Before the project begins, every component is defined. Not at a high level. At the level of a specific deliverable with a specific acceptance criterion.</w:t>
      </w:r>
    </w:p>
    <w:p>
      <w:pPr>
        <w:spacing w:after="0" w:before="60"/>
      </w:pPr>
    </w:p>
    <w:p>
      <w:pPr>
        <w:pStyle w:val="ListParagraph"/>
        <w:numPr>
          <w:ilvl w:val="0"/>
          <w:numId w:val="2"/>
        </w:numPr>
        <w:spacing w:after="55" w:before="55" w:line="295" w:lineRule="auto"/>
      </w:pPr>
      <w:r>
        <w:rPr>
          <w:rFonts w:ascii="Arial" w:cs="Arial" w:eastAsia="Arial" w:hAnsi="Arial"/>
          <w:color w:val="E8E2D9"/>
          <w:sz w:val="20"/>
          <w:szCs w:val="20"/>
        </w:rPr>
        <w:t xml:space="preserve">Technical integration requirements confirmed: which systems connect, via which endpoints, with what data flows.</w:t>
      </w:r>
    </w:p>
    <w:p>
      <w:pPr>
        <w:pStyle w:val="ListParagraph"/>
        <w:numPr>
          <w:ilvl w:val="0"/>
          <w:numId w:val="2"/>
        </w:numPr>
        <w:spacing w:after="55" w:before="55" w:line="295" w:lineRule="auto"/>
      </w:pPr>
      <w:r>
        <w:rPr>
          <w:rFonts w:ascii="Arial" w:cs="Arial" w:eastAsia="Arial" w:hAnsi="Arial"/>
          <w:color w:val="E8E2D9"/>
          <w:sz w:val="20"/>
          <w:szCs w:val="20"/>
        </w:rPr>
        <w:t xml:space="preserve">White-label configuration scope agreed: branding, user roles, access permissions, portfolio and mandate structure.</w:t>
      </w:r>
    </w:p>
    <w:p>
      <w:pPr>
        <w:pStyle w:val="ListParagraph"/>
        <w:numPr>
          <w:ilvl w:val="0"/>
          <w:numId w:val="2"/>
        </w:numPr>
        <w:spacing w:after="55" w:before="55" w:line="295" w:lineRule="auto"/>
      </w:pPr>
      <w:r>
        <w:rPr>
          <w:rFonts w:ascii="Arial" w:cs="Arial" w:eastAsia="Arial" w:hAnsi="Arial"/>
          <w:color w:val="E8E2D9"/>
          <w:sz w:val="20"/>
          <w:szCs w:val="20"/>
        </w:rPr>
        <w:t xml:space="preserve">EAM onboarding workflow defined: how EAM clients are set up, who does it, and what constitutes completion.</w:t>
      </w:r>
    </w:p>
    <w:p>
      <w:pPr>
        <w:pStyle w:val="ListParagraph"/>
        <w:numPr>
          <w:ilvl w:val="0"/>
          <w:numId w:val="2"/>
        </w:numPr>
        <w:spacing w:after="55" w:before="55" w:line="295" w:lineRule="auto"/>
      </w:pPr>
      <w:r>
        <w:rPr>
          <w:rFonts w:ascii="Arial" w:cs="Arial" w:eastAsia="Arial" w:hAnsi="Arial"/>
          <w:color w:val="E8E2D9"/>
          <w:sz w:val="20"/>
          <w:szCs w:val="20"/>
        </w:rPr>
        <w:t xml:space="preserve">UAT scope agreed: which scenarios, which users, which acceptance criteria.</w:t>
      </w:r>
    </w:p>
    <w:p>
      <w:pPr>
        <w:pStyle w:val="ListParagraph"/>
        <w:numPr>
          <w:ilvl w:val="0"/>
          <w:numId w:val="2"/>
        </w:numPr>
        <w:spacing w:after="55" w:before="55" w:line="295" w:lineRule="auto"/>
      </w:pPr>
      <w:r>
        <w:rPr>
          <w:rFonts w:ascii="Arial" w:cs="Arial" w:eastAsia="Arial" w:hAnsi="Arial"/>
          <w:color w:val="E8E2D9"/>
          <w:sz w:val="20"/>
          <w:szCs w:val="20"/>
        </w:rPr>
        <w:t xml:space="preserve">Go-live criteria defined: what must be true for the platform to be declared ready for live client use.</w:t>
      </w:r>
    </w:p>
    <w:p>
      <w:pPr>
        <w:pStyle w:val="ListParagraph"/>
        <w:numPr>
          <w:ilvl w:val="0"/>
          <w:numId w:val="2"/>
        </w:numPr>
        <w:spacing w:after="55" w:before="55" w:line="295" w:lineRule="auto"/>
      </w:pPr>
      <w:r>
        <w:rPr>
          <w:rFonts w:ascii="Arial" w:cs="Arial" w:eastAsia="Arial" w:hAnsi="Arial"/>
          <w:color w:val="E8E2D9"/>
          <w:sz w:val="20"/>
          <w:szCs w:val="20"/>
        </w:rPr>
        <w:t xml:space="preserve">Statement of work signed before Phase 1 begins.</w:t>
      </w:r>
    </w:p>
    <w:p>
      <w:pPr>
        <w:spacing w:after="0" w:before="80"/>
      </w:pPr>
    </w:p>
    <w:p>
      <w:pPr>
        <w:pStyle w:val="Heading2"/>
        <w:spacing w:after="60" w:before="240"/>
      </w:pPr>
      <w:r>
        <w:rPr>
          <w:rFonts w:ascii="Arial" w:cs="Arial" w:eastAsia="Arial" w:hAnsi="Arial"/>
          <w:b/>
          <w:bCs/>
          <w:color w:val="E8E8EC"/>
          <w:sz w:val="21"/>
          <w:szCs w:val="21"/>
        </w:rPr>
        <w:t xml:space="preserve">Phase 1: Integration Build (4–8 weeks)</w:t>
      </w:r>
    </w:p>
    <w:p>
      <w:pPr>
        <w:spacing w:after="50" w:before="50" w:line="315" w:lineRule="auto"/>
      </w:pPr>
      <w:r>
        <w:rPr>
          <w:rFonts w:ascii="Arial" w:cs="Arial" w:eastAsia="Arial" w:hAnsi="Arial"/>
          <w:b w:val="false"/>
          <w:bCs w:val="false"/>
          <w:i w:val="false"/>
          <w:iCs w:val="false"/>
          <w:color w:val="E8E2D9"/>
          <w:sz w:val="20"/>
          <w:szCs w:val="20"/>
        </w:rPr>
        <w:t xml:space="preserve">API connectivity between Vektor and the client’s systems is established and tested. Data flows are validated. InvestPuppy’s project lead manages the build against the scoped deliverables. Any subcontracted integration tasks are delivered against fixed-price purchase orders with defined acceptance criteria.</w:t>
      </w:r>
    </w:p>
    <w:p>
      <w:pPr>
        <w:spacing w:after="0" w:before="60"/>
      </w:pPr>
    </w:p>
    <w:p>
      <w:pPr>
        <w:pStyle w:val="ListParagraph"/>
        <w:numPr>
          <w:ilvl w:val="0"/>
          <w:numId w:val="2"/>
        </w:numPr>
        <w:spacing w:after="55" w:before="55" w:line="295" w:lineRule="auto"/>
      </w:pPr>
      <w:r>
        <w:rPr>
          <w:rFonts w:ascii="Arial" w:cs="Arial" w:eastAsia="Arial" w:hAnsi="Arial"/>
          <w:color w:val="E8E2D9"/>
          <w:sz w:val="20"/>
          <w:szCs w:val="20"/>
        </w:rPr>
        <w:t xml:space="preserve">OpenWealth API endpoints configured and tested in staging environment</w:t>
      </w:r>
    </w:p>
    <w:p>
      <w:pPr>
        <w:pStyle w:val="ListParagraph"/>
        <w:numPr>
          <w:ilvl w:val="0"/>
          <w:numId w:val="2"/>
        </w:numPr>
        <w:spacing w:after="55" w:before="55" w:line="295" w:lineRule="auto"/>
      </w:pPr>
      <w:r>
        <w:rPr>
          <w:rFonts w:ascii="Arial" w:cs="Arial" w:eastAsia="Arial" w:hAnsi="Arial"/>
          <w:color w:val="E8E2D9"/>
          <w:sz w:val="20"/>
          <w:szCs w:val="20"/>
        </w:rPr>
        <w:t xml:space="preserve">OMS integration (if in scope) built and validated against the agreed data specification</w:t>
      </w:r>
    </w:p>
    <w:p>
      <w:pPr>
        <w:pStyle w:val="ListParagraph"/>
        <w:numPr>
          <w:ilvl w:val="0"/>
          <w:numId w:val="2"/>
        </w:numPr>
        <w:spacing w:after="55" w:before="55" w:line="295" w:lineRule="auto"/>
      </w:pPr>
      <w:r>
        <w:rPr>
          <w:rFonts w:ascii="Arial" w:cs="Arial" w:eastAsia="Arial" w:hAnsi="Arial"/>
          <w:color w:val="E8E2D9"/>
          <w:sz w:val="20"/>
          <w:szCs w:val="20"/>
        </w:rPr>
        <w:t xml:space="preserve">Reporting platform connectivity confirmed</w:t>
      </w:r>
    </w:p>
    <w:p>
      <w:pPr>
        <w:pStyle w:val="ListParagraph"/>
        <w:numPr>
          <w:ilvl w:val="0"/>
          <w:numId w:val="2"/>
        </w:numPr>
        <w:spacing w:after="55" w:before="55" w:line="295" w:lineRule="auto"/>
      </w:pPr>
      <w:r>
        <w:rPr>
          <w:rFonts w:ascii="Arial" w:cs="Arial" w:eastAsia="Arial" w:hAnsi="Arial"/>
          <w:color w:val="E8E2D9"/>
          <w:sz w:val="20"/>
          <w:szCs w:val="20"/>
        </w:rPr>
        <w:t xml:space="preserve">Data governance controls implemented and documented</w:t>
      </w:r>
    </w:p>
    <w:p>
      <w:pPr>
        <w:pStyle w:val="ListParagraph"/>
        <w:numPr>
          <w:ilvl w:val="0"/>
          <w:numId w:val="2"/>
        </w:numPr>
        <w:spacing w:after="55" w:before="55" w:line="295" w:lineRule="auto"/>
      </w:pPr>
      <w:r>
        <w:rPr>
          <w:rFonts w:ascii="Arial" w:cs="Arial" w:eastAsia="Arial" w:hAnsi="Arial"/>
          <w:color w:val="E8E2D9"/>
          <w:sz w:val="20"/>
          <w:szCs w:val="20"/>
        </w:rPr>
        <w:t xml:space="preserve">Integration test report produced before moving to configuration</w:t>
      </w:r>
    </w:p>
    <w:p>
      <w:pPr>
        <w:spacing w:after="0" w:before="80"/>
      </w:pPr>
    </w:p>
    <w:p>
      <w:pPr>
        <w:pStyle w:val="Heading2"/>
        <w:spacing w:after="60" w:before="240"/>
      </w:pPr>
      <w:r>
        <w:rPr>
          <w:rFonts w:ascii="Arial" w:cs="Arial" w:eastAsia="Arial" w:hAnsi="Arial"/>
          <w:b/>
          <w:bCs/>
          <w:color w:val="E8E8EC"/>
          <w:sz w:val="21"/>
          <w:szCs w:val="21"/>
        </w:rPr>
        <w:t xml:space="preserve">Phase 2: Configuration (2–4 weeks)</w:t>
      </w:r>
    </w:p>
    <w:p>
      <w:pPr>
        <w:spacing w:after="50" w:before="50" w:line="315" w:lineRule="auto"/>
      </w:pPr>
      <w:r>
        <w:rPr>
          <w:rFonts w:ascii="Arial" w:cs="Arial" w:eastAsia="Arial" w:hAnsi="Arial"/>
          <w:b w:val="false"/>
          <w:bCs w:val="false"/>
          <w:i w:val="false"/>
          <w:iCs w:val="false"/>
          <w:color w:val="E8E2D9"/>
          <w:sz w:val="20"/>
          <w:szCs w:val="20"/>
        </w:rPr>
        <w:t xml:space="preserve">The platform is configured for the specific institutional deployment. Strategy parameters, instrument universes, EAM user roles, and mandate structures are set up. The client’s operations team is trained in platform administration.</w:t>
      </w:r>
    </w:p>
    <w:p>
      <w:pPr>
        <w:spacing w:after="0" w:before="60"/>
      </w:pPr>
    </w:p>
    <w:p>
      <w:pPr>
        <w:pStyle w:val="ListParagraph"/>
        <w:numPr>
          <w:ilvl w:val="0"/>
          <w:numId w:val="2"/>
        </w:numPr>
        <w:spacing w:after="55" w:before="55" w:line="295" w:lineRule="auto"/>
      </w:pPr>
      <w:r>
        <w:rPr>
          <w:rFonts w:ascii="Arial" w:cs="Arial" w:eastAsia="Arial" w:hAnsi="Arial"/>
          <w:color w:val="E8E2D9"/>
          <w:sz w:val="20"/>
          <w:szCs w:val="20"/>
        </w:rPr>
        <w:t xml:space="preserve">Strategy and instrument configuration</w:t>
      </w:r>
    </w:p>
    <w:p>
      <w:pPr>
        <w:pStyle w:val="ListParagraph"/>
        <w:numPr>
          <w:ilvl w:val="0"/>
          <w:numId w:val="2"/>
        </w:numPr>
        <w:spacing w:after="55" w:before="55" w:line="295" w:lineRule="auto"/>
      </w:pPr>
      <w:r>
        <w:rPr>
          <w:rFonts w:ascii="Arial" w:cs="Arial" w:eastAsia="Arial" w:hAnsi="Arial"/>
          <w:color w:val="E8E2D9"/>
          <w:sz w:val="20"/>
          <w:szCs w:val="20"/>
        </w:rPr>
        <w:t xml:space="preserve">User role and access permission setup</w:t>
      </w:r>
    </w:p>
    <w:p>
      <w:pPr>
        <w:pStyle w:val="ListParagraph"/>
        <w:numPr>
          <w:ilvl w:val="0"/>
          <w:numId w:val="2"/>
        </w:numPr>
        <w:spacing w:after="55" w:before="55" w:line="295" w:lineRule="auto"/>
      </w:pPr>
      <w:r>
        <w:rPr>
          <w:rFonts w:ascii="Arial" w:cs="Arial" w:eastAsia="Arial" w:hAnsi="Arial"/>
          <w:color w:val="E8E2D9"/>
          <w:sz w:val="20"/>
          <w:szCs w:val="20"/>
        </w:rPr>
        <w:t xml:space="preserve">EAM onboarding workflow configured</w:t>
      </w:r>
    </w:p>
    <w:p>
      <w:pPr>
        <w:pStyle w:val="ListParagraph"/>
        <w:numPr>
          <w:ilvl w:val="0"/>
          <w:numId w:val="2"/>
        </w:numPr>
        <w:spacing w:after="55" w:before="55" w:line="295" w:lineRule="auto"/>
      </w:pPr>
      <w:r>
        <w:rPr>
          <w:rFonts w:ascii="Arial" w:cs="Arial" w:eastAsia="Arial" w:hAnsi="Arial"/>
          <w:color w:val="E8E2D9"/>
          <w:sz w:val="20"/>
          <w:szCs w:val="20"/>
        </w:rPr>
        <w:t xml:space="preserve">Administrator training delivered</w:t>
      </w:r>
    </w:p>
    <w:p>
      <w:pPr>
        <w:pStyle w:val="ListParagraph"/>
        <w:numPr>
          <w:ilvl w:val="0"/>
          <w:numId w:val="2"/>
        </w:numPr>
        <w:spacing w:after="55" w:before="55" w:line="295" w:lineRule="auto"/>
      </w:pPr>
      <w:r>
        <w:rPr>
          <w:rFonts w:ascii="Arial" w:cs="Arial" w:eastAsia="Arial" w:hAnsi="Arial"/>
          <w:color w:val="E8E2D9"/>
          <w:sz w:val="20"/>
          <w:szCs w:val="20"/>
        </w:rPr>
        <w:t xml:space="preserve">Configuration sign-off by client counterpart</w:t>
      </w:r>
    </w:p>
    <w:p>
      <w:pPr>
        <w:spacing w:after="0" w:before="80"/>
      </w:pPr>
    </w:p>
    <w:p>
      <w:pPr>
        <w:pStyle w:val="Heading2"/>
        <w:spacing w:after="60" w:before="240"/>
      </w:pPr>
      <w:r>
        <w:rPr>
          <w:rFonts w:ascii="Arial" w:cs="Arial" w:eastAsia="Arial" w:hAnsi="Arial"/>
          <w:b/>
          <w:bCs/>
          <w:color w:val="E8E8EC"/>
          <w:sz w:val="21"/>
          <w:szCs w:val="21"/>
        </w:rPr>
        <w:t xml:space="preserve">Phase 3: UAT (2–3 weeks)</w:t>
      </w:r>
    </w:p>
    <w:p>
      <w:pPr>
        <w:spacing w:after="50" w:before="50" w:line="315" w:lineRule="auto"/>
      </w:pPr>
      <w:r>
        <w:rPr>
          <w:rFonts w:ascii="Arial" w:cs="Arial" w:eastAsia="Arial" w:hAnsi="Arial"/>
          <w:b w:val="false"/>
          <w:bCs w:val="false"/>
          <w:i w:val="false"/>
          <w:iCs w:val="false"/>
          <w:color w:val="E8E2D9"/>
          <w:sz w:val="20"/>
          <w:szCs w:val="20"/>
        </w:rPr>
        <w:t xml:space="preserve">The client’s own users run the acceptance tests. InvestPuppy provides a UAT scenario template as a starting point — ensuring coverage of the platform’s specific functionality and the scenarios most likely to surface issues. The client adapts and extends the template for their own workflows. InvestPuppy supports the UAT process — answering questions, fixing defects, explaining behaviour — but does not run tests on the client’s behalf. The people who will use the platform after go-live must participate.</w:t>
      </w:r>
    </w:p>
    <w:p>
      <w:pPr>
        <w:spacing w:after="0" w:before="60"/>
      </w:pPr>
    </w:p>
    <w:p>
      <w:pPr>
        <w:pStyle w:val="ListParagraph"/>
        <w:numPr>
          <w:ilvl w:val="0"/>
          <w:numId w:val="2"/>
        </w:numPr>
        <w:spacing w:after="55" w:before="55" w:line="295" w:lineRule="auto"/>
      </w:pPr>
      <w:r>
        <w:rPr>
          <w:rFonts w:ascii="Arial" w:cs="Arial" w:eastAsia="Arial" w:hAnsi="Arial"/>
          <w:color w:val="E8E2D9"/>
          <w:sz w:val="20"/>
          <w:szCs w:val="20"/>
        </w:rPr>
        <w:t xml:space="preserve">UAT test scenarios written by the client with InvestPuppy input</w:t>
      </w:r>
    </w:p>
    <w:p>
      <w:pPr>
        <w:pStyle w:val="ListParagraph"/>
        <w:numPr>
          <w:ilvl w:val="0"/>
          <w:numId w:val="2"/>
        </w:numPr>
        <w:spacing w:after="55" w:before="55" w:line="295" w:lineRule="auto"/>
      </w:pPr>
      <w:r>
        <w:rPr>
          <w:rFonts w:ascii="Arial" w:cs="Arial" w:eastAsia="Arial" w:hAnsi="Arial"/>
          <w:color w:val="E8E2D9"/>
          <w:sz w:val="20"/>
          <w:szCs w:val="20"/>
        </w:rPr>
        <w:t xml:space="preserve">Test execution by designated client team members</w:t>
      </w:r>
    </w:p>
    <w:p>
      <w:pPr>
        <w:pStyle w:val="ListParagraph"/>
        <w:numPr>
          <w:ilvl w:val="0"/>
          <w:numId w:val="2"/>
        </w:numPr>
        <w:spacing w:after="55" w:before="55" w:line="295" w:lineRule="auto"/>
      </w:pPr>
      <w:r>
        <w:rPr>
          <w:rFonts w:ascii="Arial" w:cs="Arial" w:eastAsia="Arial" w:hAnsi="Arial"/>
          <w:color w:val="E8E2D9"/>
          <w:sz w:val="20"/>
          <w:szCs w:val="20"/>
        </w:rPr>
        <w:t xml:space="preserve">Defect management via defined tracker with agreed priority levels</w:t>
      </w:r>
    </w:p>
    <w:p>
      <w:pPr>
        <w:pStyle w:val="ListParagraph"/>
        <w:numPr>
          <w:ilvl w:val="0"/>
          <w:numId w:val="2"/>
        </w:numPr>
        <w:spacing w:after="55" w:before="55" w:line="295" w:lineRule="auto"/>
      </w:pPr>
      <w:r>
        <w:rPr>
          <w:rFonts w:ascii="Arial" w:cs="Arial" w:eastAsia="Arial" w:hAnsi="Arial"/>
          <w:color w:val="E8E2D9"/>
          <w:sz w:val="20"/>
          <w:szCs w:val="20"/>
        </w:rPr>
        <w:t xml:space="preserve">UAT sign-off by the nominated client counterpart with decision authority</w:t>
      </w:r>
    </w:p>
    <w:p>
      <w:pPr>
        <w:spacing w:after="0" w:before="80"/>
      </w:pPr>
    </w:p>
    <w:p>
      <w:pPr>
        <w:pStyle w:val="Heading2"/>
        <w:spacing w:after="60" w:before="240"/>
      </w:pPr>
      <w:r>
        <w:rPr>
          <w:rFonts w:ascii="Arial" w:cs="Arial" w:eastAsia="Arial" w:hAnsi="Arial"/>
          <w:b/>
          <w:bCs/>
          <w:color w:val="E8E8EC"/>
          <w:sz w:val="21"/>
          <w:szCs w:val="21"/>
        </w:rPr>
        <w:t xml:space="preserve">Phase 4: Go-Live and Hypercare (4 weeks)</w:t>
      </w:r>
    </w:p>
    <w:p>
      <w:pPr>
        <w:spacing w:after="50" w:before="50" w:line="315" w:lineRule="auto"/>
      </w:pPr>
      <w:r>
        <w:rPr>
          <w:rFonts w:ascii="Arial" w:cs="Arial" w:eastAsia="Arial" w:hAnsi="Arial"/>
          <w:b w:val="false"/>
          <w:bCs w:val="false"/>
          <w:i w:val="false"/>
          <w:iCs w:val="false"/>
          <w:color w:val="E8E2D9"/>
          <w:sz w:val="20"/>
          <w:szCs w:val="20"/>
        </w:rPr>
        <w:t xml:space="preserve">Go-live is declared when the go-live criteria defined in Phase 0 are met — not on a calendar date. The first four weeks after go-live are treated as hypercare: InvestPuppy’s project lead is available for same-day response to any operational issue.</w:t>
      </w:r>
    </w:p>
    <w:p>
      <w:pPr>
        <w:spacing w:after="0" w:before="60"/>
      </w:pPr>
    </w:p>
    <w:p>
      <w:pPr>
        <w:pStyle w:val="ListParagraph"/>
        <w:numPr>
          <w:ilvl w:val="0"/>
          <w:numId w:val="2"/>
        </w:numPr>
        <w:spacing w:after="55" w:before="55" w:line="295" w:lineRule="auto"/>
      </w:pPr>
      <w:r>
        <w:rPr>
          <w:rFonts w:ascii="Arial" w:cs="Arial" w:eastAsia="Arial" w:hAnsi="Arial"/>
          <w:color w:val="E8E2D9"/>
          <w:sz w:val="20"/>
          <w:szCs w:val="20"/>
        </w:rPr>
        <w:t xml:space="preserve">Go-live readiness checklist completed and signed</w:t>
      </w:r>
    </w:p>
    <w:p>
      <w:pPr>
        <w:pStyle w:val="ListParagraph"/>
        <w:numPr>
          <w:ilvl w:val="0"/>
          <w:numId w:val="2"/>
        </w:numPr>
        <w:spacing w:after="55" w:before="55" w:line="295" w:lineRule="auto"/>
      </w:pPr>
      <w:r>
        <w:rPr>
          <w:rFonts w:ascii="Arial" w:cs="Arial" w:eastAsia="Arial" w:hAnsi="Arial"/>
          <w:color w:val="E8E2D9"/>
          <w:sz w:val="20"/>
          <w:szCs w:val="20"/>
        </w:rPr>
        <w:t xml:space="preserve">Live trading begins on the platform</w:t>
      </w:r>
    </w:p>
    <w:p>
      <w:pPr>
        <w:pStyle w:val="ListParagraph"/>
        <w:numPr>
          <w:ilvl w:val="0"/>
          <w:numId w:val="2"/>
        </w:numPr>
        <w:spacing w:after="55" w:before="55" w:line="295" w:lineRule="auto"/>
      </w:pPr>
      <w:r>
        <w:rPr>
          <w:rFonts w:ascii="Arial" w:cs="Arial" w:eastAsia="Arial" w:hAnsi="Arial"/>
          <w:color w:val="E8E2D9"/>
          <w:sz w:val="20"/>
          <w:szCs w:val="20"/>
        </w:rPr>
        <w:t xml:space="preserve">Hypercare support: same-day response SLA for four weeks</w:t>
      </w:r>
    </w:p>
    <w:p>
      <w:pPr>
        <w:pStyle w:val="ListParagraph"/>
        <w:numPr>
          <w:ilvl w:val="0"/>
          <w:numId w:val="2"/>
        </w:numPr>
        <w:spacing w:after="55" w:before="55" w:line="295" w:lineRule="auto"/>
      </w:pPr>
      <w:r>
        <w:rPr>
          <w:rFonts w:ascii="Arial" w:cs="Arial" w:eastAsia="Arial" w:hAnsi="Arial"/>
          <w:color w:val="E8E2D9"/>
          <w:sz w:val="20"/>
          <w:szCs w:val="20"/>
        </w:rPr>
        <w:t xml:space="preserve">Post-go-live review at week four: issues captured, lessons documented</w:t>
      </w:r>
    </w:p>
    <w:p>
      <w:pPr>
        <w:pStyle w:val="ListParagraph"/>
        <w:numPr>
          <w:ilvl w:val="0"/>
          <w:numId w:val="2"/>
        </w:numPr>
        <w:spacing w:after="55" w:before="55" w:line="295" w:lineRule="auto"/>
      </w:pPr>
      <w:r>
        <w:rPr>
          <w:rFonts w:ascii="Arial" w:cs="Arial" w:eastAsia="Arial" w:hAnsi="Arial"/>
          <w:color w:val="E8E2D9"/>
          <w:sz w:val="20"/>
          <w:szCs w:val="20"/>
        </w:rPr>
        <w:t xml:space="preserve">Transition to standard support SLA</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Client Requirements</w:t>
      </w:r>
    </w:p>
    <w:p>
      <w:pPr>
        <w:spacing w:after="50" w:before="50" w:line="315" w:lineRule="auto"/>
      </w:pPr>
      <w:r>
        <w:rPr>
          <w:rFonts w:ascii="Arial" w:cs="Arial" w:eastAsia="Arial" w:hAnsi="Arial"/>
          <w:b w:val="false"/>
          <w:bCs w:val="false"/>
          <w:i w:val="false"/>
          <w:iCs w:val="false"/>
          <w:color w:val="E8E2D9"/>
          <w:sz w:val="20"/>
          <w:szCs w:val="20"/>
        </w:rPr>
        <w:t xml:space="preserve">Our implementation model requires specific contributions from the client. We document these in the statement of work. Clients who have not provided these in previous implementations should expect that our requirements are non-negotiable — not because we are inflexible, but because the absence of these conditions is where implementation failures begin.</w:t>
      </w:r>
    </w:p>
    <w:p>
      <w:pPr>
        <w:spacing w:after="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6300"/>
      </w:tblGrid>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Accountable counterpart</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One named individual with the authority to make decisions on scope, accept deliverables, and sign off phases. Not a coordinator. Not a project manager without authority. The person who can say yes.</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Dedicated resource</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The client’s team members who will use the platform must be available for configuration input, training, and UAT. Platform implementations fail when the ‘end users’ are introduced at go-live.</w:t>
            </w:r>
          </w:p>
        </w:tc>
      </w:tr>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Data access</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Access to the systems and data that Vektor will integrate with must be provided on the agreed schedule. Integration delays caused by late data access are outside InvestPuppy’s scope.</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Decision cadence</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A weekly decision-point meeting for the duration of the implementation. Issues that remain unresolved for more than five working days are escalated in writing to the accountable counterpart.</w:t>
            </w:r>
          </w:p>
        </w:tc>
      </w:tr>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UAT participants</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The people who will use the platform after go-live must participate in UAT. UAT conducted by a test team that does not include end users does not satisfy the purpose of UAT.</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Performance Commitment</w:t>
      </w:r>
    </w:p>
    <w:p>
      <w:pPr>
        <w:spacing w:after="50" w:before="50" w:line="315" w:lineRule="auto"/>
      </w:pPr>
      <w:r>
        <w:rPr>
          <w:rFonts w:ascii="Arial" w:cs="Arial" w:eastAsia="Arial" w:hAnsi="Arial"/>
          <w:b w:val="false"/>
          <w:bCs w:val="false"/>
          <w:i w:val="false"/>
          <w:iCs w:val="false"/>
          <w:color w:val="E8E2D9"/>
          <w:sz w:val="20"/>
          <w:szCs w:val="20"/>
        </w:rPr>
        <w:t xml:space="preserve">For clients who wish to structure the engagement with milestone-based payment, InvestPuppy offers a performance commitment: a defined percentage of the implementation fee is contingent on meeting agreed milestone dates. If InvestPuppy misses a milestone, the contingent amount is forgiven rather than deferred.</w:t>
      </w:r>
    </w:p>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This is not standard in enterprise software implementation. It is consistent with what we believe good implementation practice should look like. We offer it as a signal of confidence in the methodology, not as a marketing gesture. The milestone structure and contingent amounts are agreed in the statement of work.</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A Note on the Unvarnished Series</w:t>
      </w:r>
    </w:p>
    <w:p>
      <w:pPr>
        <w:spacing w:after="50" w:before="50" w:line="315" w:lineRule="auto"/>
      </w:pPr>
      <w:r>
        <w:rPr>
          <w:rFonts w:ascii="Arial" w:cs="Arial" w:eastAsia="Arial" w:hAnsi="Arial"/>
          <w:b w:val="false"/>
          <w:bCs w:val="false"/>
          <w:i w:val="false"/>
          <w:iCs w:val="false"/>
          <w:color w:val="E8E2D9"/>
          <w:sz w:val="20"/>
          <w:szCs w:val="20"/>
        </w:rPr>
        <w:t xml:space="preserve">Clients who have read the Unvarnished series and are evaluating whether our implementation practice matches what the series says should ask us directly. We will answer specifically. The implementation model described in this document is the operational answer to the failure modes the series identified. Where we have made choices that reflect those failure modes, we will name them. Where we have made different choices, we will explain the reasoning.</w:t>
      </w:r>
    </w:p>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Honest by design applies to our implementation practice as much as to our product. We have published the standard. We will be held to it.</w:t>
      </w:r>
    </w:p>
    <w:p>
      <w:pPr>
        <w:spacing w:after="0" w:before="120"/>
      </w:pPr>
    </w:p>
    <w:p>
      <w:pPr>
        <w:pBdr>
          <w:bottom w:val="single" w:color="C8A96E" w:sz="6" w:space="1"/>
        </w:pBdr>
        <w:spacing w:after="180" w:before="0"/>
      </w:pPr>
    </w:p>
    <w:p>
      <w:pPr>
        <w:spacing w:after="0" w:before="80"/>
      </w:pPr>
    </w:p>
    <w:p>
      <w:pPr>
        <w:spacing w:after="0" w:before="0"/>
      </w:pPr>
      <w:r>
        <w:rPr>
          <w:rFonts w:ascii="Arial" w:cs="Arial" w:eastAsia="Arial" w:hAnsi="Arial"/>
          <w:color w:val="2A2A35"/>
          <w:sz w:val="17"/>
          <w:szCs w:val="17"/>
        </w:rPr>
        <w:t xml:space="preserve">InvestPuppy · investpuppy.com · contact@investpuppy.com · May 2026</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35" w:sz="3" w:space="1"/>
      </w:pBdr>
      <w:tabs>
        <w:tab w:val="right" w:pos="8600"/>
      </w:tabs>
      <w:spacing w:after="0" w:before="120"/>
    </w:pPr>
    <w:r>
      <w:rPr>
        <w:rFonts w:ascii="Arial" w:cs="Arial" w:eastAsia="Arial" w:hAnsi="Arial"/>
        <w:i/>
        <w:iCs/>
        <w:color w:val="2A2A35"/>
        <w:sz w:val="14"/>
        <w:szCs w:val="14"/>
      </w:rPr>
      <w:t xml:space="preserve">Tier 3 · NDA Required · Not for distribution</w:t>
    </w:r>
    <w:r>
      <w:rPr>
        <w:rFonts w:ascii="Arial" w:cs="Arial" w:eastAsia="Arial" w:hAnsi="Arial"/>
        <w:color w:val="2A2A35"/>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1"/>
      </w:pBdr>
      <w:tabs>
        <w:tab w:val="right" w:pos="8600"/>
      </w:tabs>
      <w:spacing w:after="120" w:before="0"/>
    </w:pPr>
    <w:r>
      <w:rPr>
        <w:rFonts w:ascii="Arial" w:cs="Arial" w:eastAsia="Arial" w:hAnsi="Arial"/>
        <w:b/>
        <w:bCs/>
        <w:color w:val="C8A96E"/>
        <w:sz w:val="15"/>
        <w:szCs w:val="15"/>
      </w:rPr>
      <w:t xml:space="preserve">InvestPuppy · Implementation Methodology</w:t>
    </w:r>
    <w:r>
      <w:rPr>
        <w:rFonts w:ascii="Arial" w:cs="Arial" w:eastAsia="Arial" w:hAnsi="Arial"/>
        <w:color w:val="2A2A35"/>
        <w:sz w:val="14"/>
        <w:szCs w:val="14"/>
      </w:rPr>
      <w:t xml:space="preserve">	CONFIDENTIAL · NDA Recipients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2D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C8A96E"/>
      <w:sz w:val="24"/>
      <w:szCs w:val="24"/>
    </w:rPr>
  </w:style>
  <w:style w:type="paragraph" w:styleId="Heading2">
    <w:name w:val="Heading 2"/>
    <w:basedOn w:val="Normal"/>
    <w:next w:val="Normal"/>
    <w:qFormat/>
    <w:pPr>
      <w:spacing w:after="60" w:before="240"/>
      <w:outlineLvl w:val="1"/>
    </w:pPr>
    <w:rPr>
      <w:rFonts w:ascii="Arial" w:cs="Arial" w:eastAsia="Arial" w:hAnsi="Arial"/>
      <w:b/>
      <w:bCs/>
      <w:color w:val="E8E8E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2026-05-12T15:59:12.986Z</dcterms:created>
  <dcterms:modified xsi:type="dcterms:W3CDTF">2026-05-12T15:59:12.986Z</dcterms:modified>
</cp:coreProperties>
</file>

<file path=docProps/custom.xml><?xml version="1.0" encoding="utf-8"?>
<Properties xmlns="http://schemas.openxmlformats.org/officeDocument/2006/custom-properties" xmlns:vt="http://schemas.openxmlformats.org/officeDocument/2006/docPropsVTypes"/>
</file>